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19" w:rsidRPr="00253218" w:rsidRDefault="004A0E19" w:rsidP="004A0E19">
      <w:pPr>
        <w:shd w:val="clear" w:color="auto" w:fill="FFFFFF"/>
        <w:spacing w:before="100" w:beforeAutospacing="1" w:after="100" w:afterAutospacing="1" w:line="240" w:lineRule="auto"/>
        <w:jc w:val="center"/>
        <w:rPr>
          <w:rFonts w:ascii="Tahoma" w:eastAsia="Times New Roman" w:hAnsi="Tahoma" w:cs="Tahoma"/>
          <w:color w:val="FF0000"/>
          <w:sz w:val="32"/>
          <w:szCs w:val="32"/>
          <w:lang w:eastAsia="es-ES"/>
        </w:rPr>
      </w:pPr>
      <w:r w:rsidRPr="00253218">
        <w:rPr>
          <w:rFonts w:ascii="Tahoma" w:eastAsia="Times New Roman" w:hAnsi="Tahoma" w:cs="Tahoma"/>
          <w:b/>
          <w:bCs/>
          <w:color w:val="FF0000"/>
          <w:sz w:val="32"/>
          <w:szCs w:val="32"/>
          <w:lang w:eastAsia="es-ES"/>
        </w:rPr>
        <w:t xml:space="preserve">LA MUJER </w:t>
      </w:r>
      <w:r w:rsidR="00253218">
        <w:rPr>
          <w:rFonts w:ascii="Tahoma" w:eastAsia="Times New Roman" w:hAnsi="Tahoma" w:cs="Tahoma"/>
          <w:b/>
          <w:bCs/>
          <w:color w:val="FF0000"/>
          <w:sz w:val="32"/>
          <w:szCs w:val="32"/>
          <w:lang w:eastAsia="es-ES"/>
        </w:rPr>
        <w:t>D</w:t>
      </w:r>
      <w:r w:rsidRPr="00253218">
        <w:rPr>
          <w:rFonts w:ascii="Tahoma" w:eastAsia="Times New Roman" w:hAnsi="Tahoma" w:cs="Tahoma"/>
          <w:b/>
          <w:bCs/>
          <w:color w:val="FF0000"/>
          <w:sz w:val="32"/>
          <w:szCs w:val="32"/>
          <w:lang w:eastAsia="es-ES"/>
        </w:rPr>
        <w:t>E MESOPOTAMIA</w:t>
      </w:r>
    </w:p>
    <w:p w:rsidR="004A0E19" w:rsidRPr="00253218" w:rsidRDefault="004A0E19" w:rsidP="00253218">
      <w:pPr>
        <w:shd w:val="clear" w:color="auto" w:fill="FFFFFF"/>
        <w:spacing w:before="100" w:beforeAutospacing="1" w:after="100" w:afterAutospacing="1" w:line="240" w:lineRule="auto"/>
        <w:ind w:left="-993" w:firstLine="142"/>
        <w:jc w:val="center"/>
        <w:rPr>
          <w:rFonts w:ascii="Tahoma" w:eastAsia="Times New Roman" w:hAnsi="Tahoma" w:cs="Tahoma"/>
          <w:b/>
          <w:bCs/>
          <w:color w:val="0070C0"/>
          <w:sz w:val="24"/>
          <w:szCs w:val="24"/>
          <w:lang w:eastAsia="es-ES"/>
        </w:rPr>
      </w:pPr>
      <w:r w:rsidRPr="00253218">
        <w:rPr>
          <w:rFonts w:ascii="Tahoma" w:eastAsia="Times New Roman" w:hAnsi="Tahoma" w:cs="Tahoma"/>
          <w:b/>
          <w:bCs/>
          <w:color w:val="0070C0"/>
          <w:sz w:val="24"/>
          <w:szCs w:val="24"/>
          <w:lang w:eastAsia="es-ES"/>
        </w:rPr>
        <w:t xml:space="preserve">El Código de </w:t>
      </w:r>
      <w:proofErr w:type="spellStart"/>
      <w:r w:rsidRPr="00253218">
        <w:rPr>
          <w:rFonts w:ascii="Tahoma" w:eastAsia="Times New Roman" w:hAnsi="Tahoma" w:cs="Tahoma"/>
          <w:b/>
          <w:bCs/>
          <w:color w:val="0070C0"/>
          <w:sz w:val="24"/>
          <w:szCs w:val="24"/>
          <w:lang w:eastAsia="es-ES"/>
        </w:rPr>
        <w:t>Hammurabi</w:t>
      </w:r>
      <w:proofErr w:type="spellEnd"/>
      <w:r w:rsidRPr="00253218">
        <w:rPr>
          <w:rFonts w:ascii="Tahoma" w:eastAsia="Times New Roman" w:hAnsi="Tahoma" w:cs="Tahoma"/>
          <w:b/>
          <w:bCs/>
          <w:color w:val="0070C0"/>
          <w:sz w:val="24"/>
          <w:szCs w:val="24"/>
          <w:lang w:eastAsia="es-ES"/>
        </w:rPr>
        <w:t xml:space="preserve"> y otras fuentes.</w:t>
      </w:r>
    </w:p>
    <w:p w:rsidR="004A0E19" w:rsidRPr="00253218" w:rsidRDefault="004A0E19" w:rsidP="00253218">
      <w:pPr>
        <w:shd w:val="clear" w:color="auto" w:fill="FFFFFF"/>
        <w:spacing w:before="100" w:beforeAutospacing="1" w:after="100" w:afterAutospacing="1" w:line="240" w:lineRule="auto"/>
        <w:ind w:left="-993" w:firstLine="142"/>
        <w:jc w:val="center"/>
        <w:rPr>
          <w:rFonts w:ascii="Tahoma" w:eastAsia="Times New Roman" w:hAnsi="Tahoma" w:cs="Tahoma"/>
          <w:b/>
          <w:bCs/>
          <w:sz w:val="20"/>
          <w:szCs w:val="20"/>
          <w:lang w:eastAsia="es-ES"/>
        </w:rPr>
      </w:pPr>
      <w:r w:rsidRPr="00253218">
        <w:rPr>
          <w:rFonts w:ascii="Tahoma" w:eastAsia="Times New Roman" w:hAnsi="Tahoma" w:cs="Tahoma"/>
          <w:b/>
          <w:bCs/>
          <w:sz w:val="20"/>
          <w:szCs w:val="20"/>
          <w:lang w:eastAsia="es-ES"/>
        </w:rPr>
        <w:t>http://iescolonial.es/index.php/geografia/288-1o-eso58/407-la-mujer-en-mesopotamia</w:t>
      </w:r>
    </w:p>
    <w:p w:rsidR="004A0E19" w:rsidRPr="00253218" w:rsidRDefault="004A0E19" w:rsidP="00253218">
      <w:pPr>
        <w:shd w:val="clear" w:color="auto" w:fill="FFFFFF"/>
        <w:spacing w:before="100" w:beforeAutospacing="1" w:after="100" w:afterAutospacing="1" w:line="240" w:lineRule="auto"/>
        <w:ind w:left="-993" w:firstLine="142"/>
        <w:jc w:val="both"/>
        <w:rPr>
          <w:rFonts w:ascii="Tahoma" w:eastAsia="Times New Roman" w:hAnsi="Tahoma" w:cs="Tahoma"/>
          <w:b/>
          <w:sz w:val="24"/>
          <w:szCs w:val="24"/>
          <w:lang w:eastAsia="es-ES"/>
        </w:rPr>
      </w:pPr>
      <w:r w:rsidRPr="00253218">
        <w:rPr>
          <w:rFonts w:ascii="Arial" w:eastAsia="Times New Roman" w:hAnsi="Arial" w:cs="Arial"/>
          <w:b/>
          <w:sz w:val="24"/>
          <w:szCs w:val="24"/>
          <w:lang w:eastAsia="es-ES"/>
        </w:rPr>
        <w:t>   Para conocer la situación de la mujer en Mesopotamia, la mejor fuente es el </w:t>
      </w:r>
      <w:r w:rsidRPr="00253218">
        <w:rPr>
          <w:rFonts w:ascii="Arial" w:eastAsia="Times New Roman" w:hAnsi="Arial" w:cs="Arial"/>
          <w:b/>
          <w:bCs/>
          <w:sz w:val="24"/>
          <w:szCs w:val="24"/>
          <w:lang w:eastAsia="es-ES"/>
        </w:rPr>
        <w:t xml:space="preserve">Código de </w:t>
      </w:r>
      <w:proofErr w:type="spellStart"/>
      <w:r w:rsidRPr="00253218">
        <w:rPr>
          <w:rFonts w:ascii="Arial" w:eastAsia="Times New Roman" w:hAnsi="Arial" w:cs="Arial"/>
          <w:b/>
          <w:bCs/>
          <w:sz w:val="24"/>
          <w:szCs w:val="24"/>
          <w:lang w:eastAsia="es-ES"/>
        </w:rPr>
        <w:t>Hammurabi</w:t>
      </w:r>
      <w:proofErr w:type="spellEnd"/>
      <w:r w:rsidRPr="00253218">
        <w:rPr>
          <w:rFonts w:ascii="Arial" w:eastAsia="Times New Roman" w:hAnsi="Arial" w:cs="Arial"/>
          <w:b/>
          <w:sz w:val="24"/>
          <w:szCs w:val="24"/>
          <w:lang w:eastAsia="es-ES"/>
        </w:rPr>
        <w:t>, un conjunto de leyes establecidas por este rey en el S. XVIII a.C. Muchas de sus normas nos describen los derechos y obligaciones de las mujeres, y gracias a ello podemos hacernos una idea de cómo vivían</w:t>
      </w:r>
      <w:r w:rsidRPr="00253218">
        <w:rPr>
          <w:rFonts w:ascii="Tahoma" w:eastAsia="Times New Roman" w:hAnsi="Tahoma" w:cs="Tahoma"/>
          <w:b/>
          <w:sz w:val="24"/>
          <w:szCs w:val="24"/>
          <w:lang w:eastAsia="es-ES"/>
        </w:rPr>
        <w:t>.</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Hay algunos aspectos del Código que son importantes para comprender la mentalidad  de las personas en la antigua Mesopotamia. En primer lugar, el orden social estaba por encima de cualquier tipo de derechos individuales. En segundo lugar, el marido o el padre era el cabeza de la familia. Por último, se consideraba que la legitimidad de la descendencia era esencial, y por ello se limitaba estrictamente la libertad sexual de la mujer, no así la del hombre.</w:t>
      </w:r>
    </w:p>
    <w:p w:rsidR="004A0E19" w:rsidRPr="00253218" w:rsidRDefault="004A0E19" w:rsidP="00253218">
      <w:pPr>
        <w:shd w:val="clear" w:color="auto" w:fill="FFFFFF"/>
        <w:spacing w:before="100" w:beforeAutospacing="1" w:after="100" w:afterAutospacing="1" w:line="240" w:lineRule="auto"/>
        <w:ind w:left="-993" w:firstLine="142"/>
        <w:jc w:val="both"/>
        <w:rPr>
          <w:rFonts w:ascii="Tahoma" w:eastAsia="Times New Roman" w:hAnsi="Tahoma" w:cs="Tahoma"/>
          <w:b/>
          <w:color w:val="0070C0"/>
          <w:sz w:val="24"/>
          <w:szCs w:val="24"/>
          <w:lang w:eastAsia="es-ES"/>
        </w:rPr>
      </w:pPr>
      <w:r w:rsidRPr="00253218">
        <w:rPr>
          <w:rFonts w:ascii="Tahoma" w:eastAsia="Times New Roman" w:hAnsi="Tahoma" w:cs="Tahoma"/>
          <w:b/>
          <w:bCs/>
          <w:color w:val="0070C0"/>
          <w:sz w:val="24"/>
          <w:szCs w:val="24"/>
          <w:lang w:eastAsia="es-ES"/>
        </w:rPr>
        <w:t>La sumisión de la mujer</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bCs/>
          <w:sz w:val="24"/>
          <w:szCs w:val="24"/>
          <w:lang w:eastAsia="es-ES"/>
        </w:rPr>
        <w:t>   </w:t>
      </w:r>
      <w:r w:rsidRPr="00253218">
        <w:rPr>
          <w:rFonts w:ascii="Arial" w:eastAsia="Times New Roman" w:hAnsi="Arial" w:cs="Arial"/>
          <w:b/>
          <w:sz w:val="24"/>
          <w:szCs w:val="24"/>
          <w:lang w:eastAsia="es-ES"/>
        </w:rPr>
        <w:t>La mujer en Mesopotamia estaba sometida a la autoridad del hombre, bien fuese su padre o su marido. Los hijos (tanto los varones como las mujeres) eran considerados posesiones del padre. La mujer no pertenecía al marido, aunque en el aspecto sexual sí que era considerada como una propiedad del esposo y estaba seriamente castigada cualquier relación sexual de la mujer casada fuera del matrimonio, tanto para ella como para su amante.</w:t>
      </w:r>
    </w:p>
    <w:p w:rsidR="004A0E19" w:rsidRPr="00253218" w:rsidRDefault="004A0E19" w:rsidP="00253218">
      <w:pPr>
        <w:shd w:val="clear" w:color="auto" w:fill="FFFFFF"/>
        <w:spacing w:before="100" w:beforeAutospacing="1" w:after="100" w:afterAutospacing="1" w:line="240" w:lineRule="auto"/>
        <w:ind w:left="-993" w:firstLine="142"/>
        <w:jc w:val="both"/>
        <w:rPr>
          <w:rFonts w:ascii="Tahoma" w:eastAsia="Times New Roman" w:hAnsi="Tahoma" w:cs="Tahoma"/>
          <w:b/>
          <w:sz w:val="24"/>
          <w:szCs w:val="24"/>
          <w:lang w:eastAsia="es-ES"/>
        </w:rPr>
      </w:pPr>
      <w:r w:rsidRPr="00253218">
        <w:rPr>
          <w:rFonts w:ascii="Tahoma" w:eastAsia="Times New Roman" w:hAnsi="Tahoma" w:cs="Tahoma"/>
          <w:b/>
          <w:sz w:val="24"/>
          <w:szCs w:val="24"/>
          <w:lang w:eastAsia="es-ES"/>
        </w:rPr>
        <w:t xml:space="preserve">   </w:t>
      </w:r>
      <w:r w:rsidRPr="00253218">
        <w:rPr>
          <w:rFonts w:ascii="Arial" w:eastAsia="Times New Roman" w:hAnsi="Arial" w:cs="Arial"/>
          <w:b/>
          <w:sz w:val="24"/>
          <w:szCs w:val="24"/>
          <w:lang w:eastAsia="es-ES"/>
        </w:rPr>
        <w:t>Aunque se cree que en Babilonia las mujeres tenían derecho de propiedad, lo más habitual era que el padre o el marido fuesen quienes administraban los bienes familiares</w:t>
      </w:r>
      <w:r w:rsidRPr="00253218">
        <w:rPr>
          <w:rFonts w:ascii="Tahoma" w:eastAsia="Times New Roman" w:hAnsi="Tahoma" w:cs="Tahoma"/>
          <w:b/>
          <w:sz w:val="24"/>
          <w:szCs w:val="24"/>
          <w:lang w:eastAsia="es-ES"/>
        </w:rPr>
        <w:t>.</w:t>
      </w:r>
    </w:p>
    <w:p w:rsidR="004A0E19" w:rsidRPr="00253218" w:rsidRDefault="004A0E19" w:rsidP="00253218">
      <w:pPr>
        <w:shd w:val="clear" w:color="auto" w:fill="FFFFFF"/>
        <w:spacing w:before="100" w:beforeAutospacing="1" w:after="100" w:afterAutospacing="1" w:line="240" w:lineRule="auto"/>
        <w:ind w:left="-993" w:firstLine="142"/>
        <w:jc w:val="both"/>
        <w:rPr>
          <w:rFonts w:ascii="Tahoma" w:eastAsia="Times New Roman" w:hAnsi="Tahoma" w:cs="Tahoma"/>
          <w:b/>
          <w:color w:val="0070C0"/>
          <w:sz w:val="24"/>
          <w:szCs w:val="24"/>
          <w:lang w:eastAsia="es-ES"/>
        </w:rPr>
      </w:pPr>
      <w:r w:rsidRPr="00253218">
        <w:rPr>
          <w:rFonts w:ascii="Tahoma" w:eastAsia="Times New Roman" w:hAnsi="Tahoma" w:cs="Tahoma"/>
          <w:b/>
          <w:bCs/>
          <w:color w:val="0070C0"/>
          <w:sz w:val="24"/>
          <w:szCs w:val="24"/>
          <w:lang w:eastAsia="es-ES"/>
        </w:rPr>
        <w:t>Matrimonio</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bCs/>
          <w:sz w:val="24"/>
          <w:szCs w:val="24"/>
          <w:lang w:eastAsia="es-ES"/>
        </w:rPr>
        <w:t>    </w:t>
      </w:r>
      <w:r w:rsidRPr="00253218">
        <w:rPr>
          <w:rFonts w:ascii="Arial" w:eastAsia="Times New Roman" w:hAnsi="Arial" w:cs="Arial"/>
          <w:b/>
          <w:sz w:val="24"/>
          <w:szCs w:val="24"/>
          <w:lang w:eastAsia="es-ES"/>
        </w:rPr>
        <w:t xml:space="preserve">El matrimonio, al menos en teoría, era acordado por el padre o los hermanos, y el Código de </w:t>
      </w:r>
      <w:proofErr w:type="spellStart"/>
      <w:r w:rsidRPr="00253218">
        <w:rPr>
          <w:rFonts w:ascii="Arial" w:eastAsia="Times New Roman" w:hAnsi="Arial" w:cs="Arial"/>
          <w:b/>
          <w:sz w:val="24"/>
          <w:szCs w:val="24"/>
          <w:lang w:eastAsia="es-ES"/>
        </w:rPr>
        <w:t>Hammurabi</w:t>
      </w:r>
      <w:proofErr w:type="spellEnd"/>
      <w:r w:rsidRPr="00253218">
        <w:rPr>
          <w:rFonts w:ascii="Arial" w:eastAsia="Times New Roman" w:hAnsi="Arial" w:cs="Arial"/>
          <w:b/>
          <w:sz w:val="24"/>
          <w:szCs w:val="24"/>
          <w:lang w:eastAsia="es-ES"/>
        </w:rPr>
        <w:t xml:space="preserve"> establecía que era necesario un contrato para establecer todas las condiciones de la unión y las posibilidades en caso de divorcio o viudedad.</w:t>
      </w:r>
    </w:p>
    <w:p w:rsid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En el contrato matrimonial había dos conceptos de gran importancia: la dote y el precio de la novia.</w:t>
      </w:r>
    </w:p>
    <w:p w:rsid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La </w:t>
      </w:r>
      <w:r w:rsidRPr="00253218">
        <w:rPr>
          <w:rFonts w:ascii="Arial" w:eastAsia="Times New Roman" w:hAnsi="Arial" w:cs="Arial"/>
          <w:b/>
          <w:bCs/>
          <w:sz w:val="24"/>
          <w:szCs w:val="24"/>
          <w:lang w:eastAsia="es-ES"/>
        </w:rPr>
        <w:t>dote </w:t>
      </w:r>
      <w:r w:rsidRPr="00253218">
        <w:rPr>
          <w:rFonts w:ascii="Arial" w:eastAsia="Times New Roman" w:hAnsi="Arial" w:cs="Arial"/>
          <w:b/>
          <w:sz w:val="24"/>
          <w:szCs w:val="24"/>
          <w:lang w:eastAsia="es-ES"/>
        </w:rPr>
        <w:t>era la cantidad que el padre de la novia otorgaba a su hija para el mantenimiento de su nuevo hogar. Las hijas no tenían normalmente derecho a la herencia del padre, porque se suponía que su parte de posesiones estaba ya entregada con la dote. La dote pasaba a pertenecer al conjunto de bienes del nuevo hogar y sería administrada por el marido.</w:t>
      </w:r>
    </w:p>
    <w:p w:rsidR="004A0E19" w:rsidRPr="00253218" w:rsidRDefault="00253218"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A0E19" w:rsidRPr="00253218">
        <w:rPr>
          <w:rFonts w:ascii="Arial" w:eastAsia="Times New Roman" w:hAnsi="Arial" w:cs="Arial"/>
          <w:b/>
          <w:sz w:val="24"/>
          <w:szCs w:val="24"/>
          <w:lang w:eastAsia="es-ES"/>
        </w:rPr>
        <w:t>El </w:t>
      </w:r>
      <w:r w:rsidR="004A0E19" w:rsidRPr="00253218">
        <w:rPr>
          <w:rFonts w:ascii="Arial" w:eastAsia="Times New Roman" w:hAnsi="Arial" w:cs="Arial"/>
          <w:b/>
          <w:bCs/>
          <w:sz w:val="24"/>
          <w:szCs w:val="24"/>
          <w:lang w:eastAsia="es-ES"/>
        </w:rPr>
        <w:t>precio de la novia</w:t>
      </w:r>
      <w:r w:rsidR="004A0E19" w:rsidRPr="00253218">
        <w:rPr>
          <w:rFonts w:ascii="Arial" w:eastAsia="Times New Roman" w:hAnsi="Arial" w:cs="Arial"/>
          <w:b/>
          <w:sz w:val="24"/>
          <w:szCs w:val="24"/>
          <w:lang w:eastAsia="es-ES"/>
        </w:rPr>
        <w:t> era una cantidad acordada que la familia del novio tenía que pagar para que su hijo se pudiera casar con una mujer.</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Un padre podía entregar una hija para ejercer de sacerdotisa de un dios.</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color w:val="0070C0"/>
          <w:sz w:val="24"/>
          <w:szCs w:val="24"/>
          <w:lang w:eastAsia="es-ES"/>
        </w:rPr>
      </w:pPr>
      <w:r w:rsidRPr="00253218">
        <w:rPr>
          <w:rFonts w:ascii="Arial" w:eastAsia="Times New Roman" w:hAnsi="Arial" w:cs="Arial"/>
          <w:b/>
          <w:bCs/>
          <w:color w:val="0070C0"/>
          <w:sz w:val="24"/>
          <w:szCs w:val="24"/>
          <w:lang w:eastAsia="es-ES"/>
        </w:rPr>
        <w:lastRenderedPageBreak/>
        <w:t>Divorcio y ruptura familiar</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bCs/>
          <w:sz w:val="24"/>
          <w:szCs w:val="24"/>
          <w:lang w:eastAsia="es-ES"/>
        </w:rPr>
        <w:t>   </w:t>
      </w:r>
      <w:r w:rsidRPr="00253218">
        <w:rPr>
          <w:rFonts w:ascii="Arial" w:eastAsia="Times New Roman" w:hAnsi="Arial" w:cs="Arial"/>
          <w:b/>
          <w:sz w:val="24"/>
          <w:szCs w:val="24"/>
          <w:lang w:eastAsia="es-ES"/>
        </w:rPr>
        <w:t>Un hombre podía divorciarse de una mujer sin necesidad de una justificación, pero, si había tenido hijos con ella, esta se quedaba con la dote, con los hijos y con los derechos de la propiedad para poder mantenerlos. Además, cuando su ex marido moría, ella tenía derecho a una proporción de las propiedades igual a la de sus hijos.</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Si la mujer no tenía hijos, se devolvía la dote más una indemnización.</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Si era la mujer quien quería divorciarse o el marido se negaba a entregar la dote, entonces intervenían los tribunales. Si la mujer podía demostrar que la ruptura matrimonial era culpa de la dejación del marido, entonces podía irse con sus hijos y con la dote a la casa del padre. Pero si se demostraba que el matrimonio se deshacía por su culpa, perdía la dote y los hijos y el marido podía mantenerla como sierva e incluso arrojarla al río.</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color w:val="0070C0"/>
          <w:sz w:val="24"/>
          <w:szCs w:val="24"/>
          <w:lang w:eastAsia="es-ES"/>
        </w:rPr>
      </w:pPr>
      <w:r w:rsidRPr="00253218">
        <w:rPr>
          <w:rFonts w:ascii="Arial" w:eastAsia="Times New Roman" w:hAnsi="Arial" w:cs="Arial"/>
          <w:b/>
          <w:bCs/>
          <w:color w:val="0070C0"/>
          <w:sz w:val="24"/>
          <w:szCs w:val="24"/>
          <w:lang w:eastAsia="es-ES"/>
        </w:rPr>
        <w:t>La protección de las viudas</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Cuando una mujer Mesopotamia se quedaba viuda, su desamparo era realmente muy grande, por lo que los babilonios establecieron leyes para ofrecerle una ayuda que les permitiese sobrevivir dignamente.</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Para ello se estableció que los regalos de boda debían guardarse como una salvaguarda para la mujer en caso de la muerte del marido. Si no existían estos regalos, se establecía que la mujer heredaba una parte proporcional a la de cualquier hijo de las posesiones del marido. La viuda, además, tenía el derecho a permanecer en el hogar familiar durante el resto de su vida.</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Si una viuda decidía volver a casarse, perdía los regalos de boda y tenía que marcharse del hogar familiar. Aunque</w:t>
      </w:r>
      <w:r w:rsidR="00253218">
        <w:rPr>
          <w:rFonts w:ascii="Arial" w:eastAsia="Times New Roman" w:hAnsi="Arial" w:cs="Arial"/>
          <w:b/>
          <w:sz w:val="24"/>
          <w:szCs w:val="24"/>
          <w:lang w:eastAsia="es-ES"/>
        </w:rPr>
        <w:t>,</w:t>
      </w:r>
      <w:r w:rsidRPr="00253218">
        <w:rPr>
          <w:rFonts w:ascii="Arial" w:eastAsia="Times New Roman" w:hAnsi="Arial" w:cs="Arial"/>
          <w:b/>
          <w:sz w:val="24"/>
          <w:szCs w:val="24"/>
          <w:lang w:eastAsia="es-ES"/>
        </w:rPr>
        <w:t xml:space="preserve"> si tenía hijos a su cargo, debía pedir consentimiento judicial para volver a casarse.</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color w:val="0070C0"/>
          <w:sz w:val="24"/>
          <w:szCs w:val="24"/>
          <w:lang w:eastAsia="es-ES"/>
        </w:rPr>
      </w:pPr>
      <w:r w:rsidRPr="00253218">
        <w:rPr>
          <w:rFonts w:ascii="Arial" w:eastAsia="Times New Roman" w:hAnsi="Arial" w:cs="Arial"/>
          <w:b/>
          <w:bCs/>
          <w:color w:val="0070C0"/>
          <w:sz w:val="24"/>
          <w:szCs w:val="24"/>
          <w:lang w:eastAsia="es-ES"/>
        </w:rPr>
        <w:t>El adulterio</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xml:space="preserve">   Para los babilonios el adulterio consistía en que una mujer casada mantuviese relaciones con otro hombre diferente de su marido. No se consideraba adulterio las relaciones </w:t>
      </w:r>
      <w:r w:rsidR="00253218">
        <w:rPr>
          <w:rFonts w:ascii="Arial" w:eastAsia="Times New Roman" w:hAnsi="Arial" w:cs="Arial"/>
          <w:b/>
          <w:sz w:val="24"/>
          <w:szCs w:val="24"/>
          <w:lang w:eastAsia="es-ES"/>
        </w:rPr>
        <w:t xml:space="preserve">fuera del </w:t>
      </w:r>
      <w:r w:rsidRPr="00253218">
        <w:rPr>
          <w:rFonts w:ascii="Arial" w:eastAsia="Times New Roman" w:hAnsi="Arial" w:cs="Arial"/>
          <w:b/>
          <w:sz w:val="24"/>
          <w:szCs w:val="24"/>
          <w:lang w:eastAsia="es-ES"/>
        </w:rPr>
        <w:t>matrimoni</w:t>
      </w:r>
      <w:r w:rsidR="00253218">
        <w:rPr>
          <w:rFonts w:ascii="Arial" w:eastAsia="Times New Roman" w:hAnsi="Arial" w:cs="Arial"/>
          <w:b/>
          <w:sz w:val="24"/>
          <w:szCs w:val="24"/>
          <w:lang w:eastAsia="es-ES"/>
        </w:rPr>
        <w:t>o</w:t>
      </w:r>
      <w:r w:rsidRPr="00253218">
        <w:rPr>
          <w:rFonts w:ascii="Arial" w:eastAsia="Times New Roman" w:hAnsi="Arial" w:cs="Arial"/>
          <w:b/>
          <w:sz w:val="24"/>
          <w:szCs w:val="24"/>
          <w:lang w:eastAsia="es-ES"/>
        </w:rPr>
        <w:t xml:space="preserve"> del marido con mujeres no casadas.</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Si una mujer era sorprendida en adulterio con su amante, el marido tenía derecho a atarlos juntos y arrojarlos al río para que se ahogasen. Si lo deseaba, podía salvar a su mujer, pero entonces debía hacer lo mismo con el amante.</w:t>
      </w:r>
    </w:p>
    <w:p w:rsidR="004A0E19" w:rsidRPr="00253218" w:rsidRDefault="004A0E19" w:rsidP="00253218">
      <w:pPr>
        <w:shd w:val="clear" w:color="auto" w:fill="FFFFFF"/>
        <w:spacing w:before="100" w:beforeAutospacing="1" w:after="100" w:afterAutospacing="1"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Si un marido acusaba a su mujer de adulterio sin pruebas palpables, ella tenía que jurar inocencia delante de un sacerdote y podía volver con su marido.</w:t>
      </w:r>
    </w:p>
    <w:p w:rsidR="004A0E19" w:rsidRDefault="004A0E19" w:rsidP="00253218">
      <w:pPr>
        <w:shd w:val="clear" w:color="auto" w:fill="FFFFFF"/>
        <w:spacing w:before="100" w:beforeAutospacing="1" w:after="100" w:afterAutospacing="1" w:line="240" w:lineRule="auto"/>
        <w:ind w:left="-993" w:firstLine="142"/>
        <w:jc w:val="both"/>
        <w:rPr>
          <w:rFonts w:ascii="Tahoma" w:eastAsia="Times New Roman" w:hAnsi="Tahoma" w:cs="Tahoma"/>
          <w:b/>
          <w:sz w:val="24"/>
          <w:szCs w:val="24"/>
          <w:lang w:eastAsia="es-ES"/>
        </w:rPr>
      </w:pPr>
      <w:r w:rsidRPr="00253218">
        <w:rPr>
          <w:rFonts w:ascii="Arial" w:eastAsia="Times New Roman" w:hAnsi="Arial" w:cs="Arial"/>
          <w:b/>
          <w:sz w:val="24"/>
          <w:szCs w:val="24"/>
          <w:lang w:eastAsia="es-ES"/>
        </w:rPr>
        <w:t>   Si, además del marido, otra persona la acusaba de adulterio, entonces debía someterse a una dura prueba: tenía que jurar ante los dioses su inocencia y luego arrojarse al río. Si se ahogaba, se consideraba que era culpable, y si no se ahogaba, se pensaba que los dioses</w:t>
      </w:r>
      <w:r w:rsidRPr="00253218">
        <w:rPr>
          <w:rFonts w:ascii="Tahoma" w:eastAsia="Times New Roman" w:hAnsi="Tahoma" w:cs="Tahoma"/>
          <w:b/>
          <w:sz w:val="24"/>
          <w:szCs w:val="24"/>
          <w:lang w:eastAsia="es-ES"/>
        </w:rPr>
        <w:t xml:space="preserve"> la habían ayudado porque era inocente.</w:t>
      </w:r>
    </w:p>
    <w:p w:rsidR="00253218" w:rsidRPr="00253218" w:rsidRDefault="00253218" w:rsidP="00253218">
      <w:pPr>
        <w:shd w:val="clear" w:color="auto" w:fill="FFFFFF"/>
        <w:spacing w:before="100" w:beforeAutospacing="1" w:after="100" w:afterAutospacing="1" w:line="240" w:lineRule="auto"/>
        <w:ind w:left="-993" w:firstLine="142"/>
        <w:jc w:val="both"/>
        <w:rPr>
          <w:rFonts w:ascii="Tahoma" w:eastAsia="Times New Roman" w:hAnsi="Tahoma" w:cs="Tahoma"/>
          <w:b/>
          <w:sz w:val="24"/>
          <w:szCs w:val="24"/>
          <w:lang w:eastAsia="es-ES"/>
        </w:rPr>
      </w:pPr>
    </w:p>
    <w:p w:rsidR="00DA0C65" w:rsidRPr="00253218" w:rsidRDefault="004A0E19" w:rsidP="00253218">
      <w:pPr>
        <w:ind w:left="-993" w:firstLine="142"/>
        <w:jc w:val="center"/>
        <w:rPr>
          <w:rFonts w:ascii="Arial" w:hAnsi="Arial" w:cs="Arial"/>
          <w:b/>
          <w:color w:val="FF0000"/>
          <w:sz w:val="32"/>
          <w:szCs w:val="32"/>
        </w:rPr>
      </w:pPr>
      <w:r w:rsidRPr="00253218">
        <w:rPr>
          <w:rFonts w:ascii="Arial" w:hAnsi="Arial" w:cs="Arial"/>
          <w:b/>
          <w:color w:val="FF0000"/>
          <w:sz w:val="32"/>
          <w:szCs w:val="32"/>
        </w:rPr>
        <w:lastRenderedPageBreak/>
        <w:t xml:space="preserve">La mujer en el poema de </w:t>
      </w:r>
      <w:proofErr w:type="spellStart"/>
      <w:r w:rsidRPr="00253218">
        <w:rPr>
          <w:rFonts w:ascii="Arial" w:hAnsi="Arial" w:cs="Arial"/>
          <w:b/>
          <w:color w:val="FF0000"/>
          <w:sz w:val="32"/>
          <w:szCs w:val="32"/>
        </w:rPr>
        <w:t>Gilgamesh</w:t>
      </w:r>
      <w:proofErr w:type="spellEnd"/>
    </w:p>
    <w:p w:rsidR="004A0E19" w:rsidRPr="00253218" w:rsidRDefault="00253218" w:rsidP="00253218">
      <w:pPr>
        <w:pStyle w:val="NormalWeb"/>
        <w:shd w:val="clear" w:color="auto" w:fill="FFFFFF"/>
        <w:spacing w:before="120" w:beforeAutospacing="0" w:after="120" w:afterAutospacing="0"/>
        <w:ind w:left="-993" w:firstLine="142"/>
        <w:jc w:val="both"/>
        <w:rPr>
          <w:rFonts w:ascii="Arial" w:hAnsi="Arial" w:cs="Arial"/>
          <w:b/>
        </w:rPr>
      </w:pPr>
      <w:r>
        <w:rPr>
          <w:rFonts w:ascii="Arial" w:hAnsi="Arial" w:cs="Arial"/>
          <w:b/>
        </w:rPr>
        <w:t xml:space="preserve">  L</w:t>
      </w:r>
      <w:r w:rsidR="004A0E19" w:rsidRPr="00253218">
        <w:rPr>
          <w:rFonts w:ascii="Arial" w:hAnsi="Arial" w:cs="Arial"/>
          <w:b/>
        </w:rPr>
        <w:t>a </w:t>
      </w:r>
      <w:r w:rsidR="004A0E19" w:rsidRPr="00253218">
        <w:rPr>
          <w:rFonts w:ascii="Arial" w:hAnsi="Arial" w:cs="Arial"/>
          <w:b/>
          <w:bCs/>
          <w:i/>
          <w:iCs/>
        </w:rPr>
        <w:t xml:space="preserve">Epopeya de </w:t>
      </w:r>
      <w:proofErr w:type="spellStart"/>
      <w:r w:rsidR="004A0E19" w:rsidRPr="00253218">
        <w:rPr>
          <w:rFonts w:ascii="Arial" w:hAnsi="Arial" w:cs="Arial"/>
          <w:b/>
          <w:bCs/>
          <w:i/>
          <w:iCs/>
        </w:rPr>
        <w:t>Gilgamesh</w:t>
      </w:r>
      <w:proofErr w:type="spellEnd"/>
      <w:r w:rsidR="004A0E19" w:rsidRPr="00253218">
        <w:rPr>
          <w:rFonts w:ascii="Arial" w:hAnsi="Arial" w:cs="Arial"/>
          <w:b/>
        </w:rPr>
        <w:t> o el </w:t>
      </w:r>
      <w:r w:rsidR="004A0E19" w:rsidRPr="00253218">
        <w:rPr>
          <w:rFonts w:ascii="Arial" w:hAnsi="Arial" w:cs="Arial"/>
          <w:b/>
          <w:bCs/>
          <w:i/>
          <w:iCs/>
        </w:rPr>
        <w:t xml:space="preserve">Poema de </w:t>
      </w:r>
      <w:proofErr w:type="spellStart"/>
      <w:r w:rsidR="004A0E19" w:rsidRPr="00253218">
        <w:rPr>
          <w:rFonts w:ascii="Arial" w:hAnsi="Arial" w:cs="Arial"/>
          <w:b/>
          <w:bCs/>
          <w:i/>
          <w:iCs/>
        </w:rPr>
        <w:t>Gilgamesh</w:t>
      </w:r>
      <w:proofErr w:type="spellEnd"/>
      <w:r w:rsidR="004A0E19" w:rsidRPr="00253218">
        <w:rPr>
          <w:rFonts w:ascii="Arial" w:hAnsi="Arial" w:cs="Arial"/>
          <w:b/>
        </w:rPr>
        <w:t> es una narración </w:t>
      </w:r>
      <w:hyperlink r:id="rId5" w:tooltip="Literatura asirio-babilónica" w:history="1">
        <w:r w:rsidR="004A0E19" w:rsidRPr="00253218">
          <w:rPr>
            <w:rStyle w:val="Hipervnculo"/>
            <w:rFonts w:ascii="Arial" w:hAnsi="Arial" w:cs="Arial"/>
            <w:b/>
            <w:color w:val="auto"/>
            <w:u w:val="none"/>
          </w:rPr>
          <w:t>acadia</w:t>
        </w:r>
      </w:hyperlink>
      <w:r w:rsidR="004A0E19" w:rsidRPr="00253218">
        <w:rPr>
          <w:rFonts w:ascii="Arial" w:hAnsi="Arial" w:cs="Arial"/>
          <w:b/>
        </w:rPr>
        <w:t> en verso sobre las peripecias del rey </w:t>
      </w:r>
      <w:proofErr w:type="spellStart"/>
      <w:r w:rsidR="00C415CA" w:rsidRPr="00253218">
        <w:rPr>
          <w:rFonts w:ascii="Arial" w:hAnsi="Arial" w:cs="Arial"/>
          <w:b/>
        </w:rPr>
        <w:fldChar w:fldCharType="begin"/>
      </w:r>
      <w:r w:rsidR="004A0E19" w:rsidRPr="00253218">
        <w:rPr>
          <w:rFonts w:ascii="Arial" w:hAnsi="Arial" w:cs="Arial"/>
          <w:b/>
        </w:rPr>
        <w:instrText xml:space="preserve"> HYPERLINK "https://es.wikipedia.org/wiki/Gilgamesh" \o "Gilgamesh" </w:instrText>
      </w:r>
      <w:r w:rsidR="00C415CA" w:rsidRPr="00253218">
        <w:rPr>
          <w:rFonts w:ascii="Arial" w:hAnsi="Arial" w:cs="Arial"/>
          <w:b/>
        </w:rPr>
        <w:fldChar w:fldCharType="separate"/>
      </w:r>
      <w:r w:rsidR="004A0E19" w:rsidRPr="00253218">
        <w:rPr>
          <w:rStyle w:val="Hipervnculo"/>
          <w:rFonts w:ascii="Arial" w:hAnsi="Arial" w:cs="Arial"/>
          <w:b/>
          <w:color w:val="auto"/>
          <w:u w:val="none"/>
        </w:rPr>
        <w:t>Gilgamesh</w:t>
      </w:r>
      <w:proofErr w:type="spellEnd"/>
      <w:r w:rsidR="00C415CA" w:rsidRPr="00253218">
        <w:rPr>
          <w:rFonts w:ascii="Arial" w:hAnsi="Arial" w:cs="Arial"/>
          <w:b/>
        </w:rPr>
        <w:fldChar w:fldCharType="end"/>
      </w:r>
      <w:r w:rsidR="004A0E19" w:rsidRPr="00253218">
        <w:rPr>
          <w:rFonts w:ascii="Arial" w:hAnsi="Arial" w:cs="Arial"/>
          <w:b/>
        </w:rPr>
        <w:t> (también </w:t>
      </w:r>
      <w:hyperlink r:id="rId6" w:tooltip="Transcripción (lingüística)" w:history="1">
        <w:r w:rsidR="004A0E19" w:rsidRPr="00253218">
          <w:rPr>
            <w:rStyle w:val="Hipervnculo"/>
            <w:rFonts w:ascii="Arial" w:hAnsi="Arial" w:cs="Arial"/>
            <w:b/>
            <w:color w:val="auto"/>
            <w:u w:val="none"/>
          </w:rPr>
          <w:t>transcripto</w:t>
        </w:r>
      </w:hyperlink>
      <w:r w:rsidR="004A0E19" w:rsidRPr="00253218">
        <w:rPr>
          <w:rFonts w:ascii="Arial" w:hAnsi="Arial" w:cs="Arial"/>
          <w:b/>
        </w:rPr>
        <w:t> como </w:t>
      </w:r>
      <w:proofErr w:type="spellStart"/>
      <w:r w:rsidR="004A0E19" w:rsidRPr="00253218">
        <w:rPr>
          <w:rFonts w:ascii="Arial" w:hAnsi="Arial" w:cs="Arial"/>
          <w:b/>
          <w:bCs/>
          <w:i/>
          <w:iCs/>
        </w:rPr>
        <w:t>Gilgameš</w:t>
      </w:r>
      <w:proofErr w:type="spellEnd"/>
      <w:r w:rsidR="004A0E19" w:rsidRPr="00253218">
        <w:rPr>
          <w:rFonts w:ascii="Arial" w:hAnsi="Arial" w:cs="Arial"/>
          <w:b/>
        </w:rPr>
        <w:t>). Está basada en cinco poemas independientes </w:t>
      </w:r>
      <w:hyperlink r:id="rId7" w:tooltip="Literatura sumeria" w:history="1">
        <w:r w:rsidR="004A0E19" w:rsidRPr="00253218">
          <w:rPr>
            <w:rStyle w:val="Hipervnculo"/>
            <w:rFonts w:ascii="Arial" w:hAnsi="Arial" w:cs="Arial"/>
            <w:b/>
            <w:color w:val="auto"/>
            <w:u w:val="none"/>
          </w:rPr>
          <w:t>sumerios</w:t>
        </w:r>
      </w:hyperlink>
      <w:r w:rsidR="004A0E19" w:rsidRPr="00253218">
        <w:rPr>
          <w:rFonts w:ascii="Arial" w:hAnsi="Arial" w:cs="Arial"/>
          <w:b/>
        </w:rPr>
        <w:t>, que constituyen la obra épica más antigua conocida.</w:t>
      </w:r>
    </w:p>
    <w:p w:rsidR="00D738D7" w:rsidRDefault="004A0E19" w:rsidP="00253218">
      <w:pPr>
        <w:pStyle w:val="NormalWeb"/>
        <w:shd w:val="clear" w:color="auto" w:fill="FFFFFF"/>
        <w:spacing w:before="120" w:beforeAutospacing="0" w:after="120" w:afterAutospacing="0"/>
        <w:ind w:left="-993" w:firstLine="142"/>
        <w:jc w:val="both"/>
        <w:rPr>
          <w:rFonts w:ascii="Arial" w:hAnsi="Arial" w:cs="Arial"/>
          <w:b/>
        </w:rPr>
      </w:pPr>
      <w:r w:rsidRPr="00253218">
        <w:rPr>
          <w:rFonts w:ascii="Arial" w:hAnsi="Arial" w:cs="Arial"/>
          <w:b/>
        </w:rPr>
        <w:t xml:space="preserve">Al comienzo del poema, </w:t>
      </w:r>
      <w:proofErr w:type="spellStart"/>
      <w:r w:rsidRPr="00253218">
        <w:rPr>
          <w:rFonts w:ascii="Arial" w:hAnsi="Arial" w:cs="Arial"/>
          <w:b/>
        </w:rPr>
        <w:t>Gilgamesh</w:t>
      </w:r>
      <w:proofErr w:type="spellEnd"/>
      <w:r w:rsidRPr="00253218">
        <w:rPr>
          <w:rFonts w:ascii="Arial" w:hAnsi="Arial" w:cs="Arial"/>
          <w:b/>
        </w:rPr>
        <w:t xml:space="preserve"> es el despótico rey de </w:t>
      </w:r>
      <w:proofErr w:type="spellStart"/>
      <w:r w:rsidR="00C415CA" w:rsidRPr="00253218">
        <w:rPr>
          <w:rFonts w:ascii="Arial" w:hAnsi="Arial" w:cs="Arial"/>
          <w:b/>
        </w:rPr>
        <w:fldChar w:fldCharType="begin"/>
      </w:r>
      <w:r w:rsidRPr="00253218">
        <w:rPr>
          <w:rFonts w:ascii="Arial" w:hAnsi="Arial" w:cs="Arial"/>
          <w:b/>
        </w:rPr>
        <w:instrText xml:space="preserve"> HYPERLINK "https://es.wikipedia.org/wiki/Uruk" \o "Uruk" </w:instrText>
      </w:r>
      <w:r w:rsidR="00C415CA" w:rsidRPr="00253218">
        <w:rPr>
          <w:rFonts w:ascii="Arial" w:hAnsi="Arial" w:cs="Arial"/>
          <w:b/>
        </w:rPr>
        <w:fldChar w:fldCharType="separate"/>
      </w:r>
      <w:r w:rsidRPr="00253218">
        <w:rPr>
          <w:rStyle w:val="Hipervnculo"/>
          <w:rFonts w:ascii="Arial" w:hAnsi="Arial" w:cs="Arial"/>
          <w:b/>
          <w:color w:val="auto"/>
          <w:u w:val="none"/>
        </w:rPr>
        <w:t>Uruk</w:t>
      </w:r>
      <w:proofErr w:type="spellEnd"/>
      <w:r w:rsidR="00C415CA" w:rsidRPr="00253218">
        <w:rPr>
          <w:rFonts w:ascii="Arial" w:hAnsi="Arial" w:cs="Arial"/>
          <w:b/>
        </w:rPr>
        <w:fldChar w:fldCharType="end"/>
      </w:r>
      <w:r w:rsidRPr="00253218">
        <w:rPr>
          <w:rFonts w:ascii="Arial" w:hAnsi="Arial" w:cs="Arial"/>
          <w:b/>
        </w:rPr>
        <w:t>, cuyos súbditos se quejan a los </w:t>
      </w:r>
      <w:hyperlink r:id="rId8" w:tooltip="Mitología sumeria" w:history="1">
        <w:r w:rsidRPr="00253218">
          <w:rPr>
            <w:rStyle w:val="Hipervnculo"/>
            <w:rFonts w:ascii="Arial" w:hAnsi="Arial" w:cs="Arial"/>
            <w:b/>
            <w:color w:val="auto"/>
            <w:u w:val="none"/>
          </w:rPr>
          <w:t>dioses</w:t>
        </w:r>
      </w:hyperlink>
      <w:r w:rsidRPr="00253218">
        <w:rPr>
          <w:rFonts w:ascii="Arial" w:hAnsi="Arial" w:cs="Arial"/>
          <w:b/>
        </w:rPr>
        <w:t>, cansados de su lujuria desenfrenada, la cual lo</w:t>
      </w:r>
      <w:r w:rsidR="004F197A">
        <w:rPr>
          <w:rFonts w:ascii="Arial" w:hAnsi="Arial" w:cs="Arial"/>
          <w:b/>
        </w:rPr>
        <w:t>s</w:t>
      </w:r>
      <w:r w:rsidRPr="00253218">
        <w:rPr>
          <w:rFonts w:ascii="Arial" w:hAnsi="Arial" w:cs="Arial"/>
          <w:b/>
        </w:rPr>
        <w:t xml:space="preserve"> lleva a forzar a las mujeres de la ciudad. Los dioses atienden este reclamo creando a </w:t>
      </w:r>
      <w:proofErr w:type="spellStart"/>
      <w:r w:rsidR="00C415CA" w:rsidRPr="00253218">
        <w:rPr>
          <w:rFonts w:ascii="Arial" w:hAnsi="Arial" w:cs="Arial"/>
          <w:b/>
        </w:rPr>
        <w:fldChar w:fldCharType="begin"/>
      </w:r>
      <w:r w:rsidRPr="00253218">
        <w:rPr>
          <w:rFonts w:ascii="Arial" w:hAnsi="Arial" w:cs="Arial"/>
          <w:b/>
        </w:rPr>
        <w:instrText xml:space="preserve"> HYPERLINK "https://es.wikipedia.org/wiki/Enkidu" \o "Enkidu" </w:instrText>
      </w:r>
      <w:r w:rsidR="00C415CA" w:rsidRPr="00253218">
        <w:rPr>
          <w:rFonts w:ascii="Arial" w:hAnsi="Arial" w:cs="Arial"/>
          <w:b/>
        </w:rPr>
        <w:fldChar w:fldCharType="separate"/>
      </w:r>
      <w:r w:rsidRPr="00253218">
        <w:rPr>
          <w:rStyle w:val="Hipervnculo"/>
          <w:rFonts w:ascii="Arial" w:hAnsi="Arial" w:cs="Arial"/>
          <w:b/>
          <w:color w:val="auto"/>
          <w:u w:val="none"/>
        </w:rPr>
        <w:t>Enkidu</w:t>
      </w:r>
      <w:proofErr w:type="spellEnd"/>
      <w:r w:rsidR="00C415CA" w:rsidRPr="00253218">
        <w:rPr>
          <w:rFonts w:ascii="Arial" w:hAnsi="Arial" w:cs="Arial"/>
          <w:b/>
        </w:rPr>
        <w:fldChar w:fldCharType="end"/>
      </w:r>
      <w:r w:rsidRPr="00253218">
        <w:rPr>
          <w:rFonts w:ascii="Arial" w:hAnsi="Arial" w:cs="Arial"/>
          <w:b/>
        </w:rPr>
        <w:t xml:space="preserve">, un hombre salvaje destinado a enfrentarse a </w:t>
      </w:r>
      <w:proofErr w:type="spellStart"/>
      <w:r w:rsidRPr="00253218">
        <w:rPr>
          <w:rFonts w:ascii="Arial" w:hAnsi="Arial" w:cs="Arial"/>
          <w:b/>
        </w:rPr>
        <w:t>Gilgamesh</w:t>
      </w:r>
      <w:proofErr w:type="spellEnd"/>
      <w:r w:rsidRPr="00253218">
        <w:rPr>
          <w:rFonts w:ascii="Arial" w:hAnsi="Arial" w:cs="Arial"/>
          <w:b/>
        </w:rPr>
        <w:t xml:space="preserve">. Pero cuando ambos entraban en combate, en vez de darse muerte se hacen amigos para siempre y emprenden peligrosas aventuras. </w:t>
      </w:r>
    </w:p>
    <w:p w:rsidR="00D738D7" w:rsidRDefault="00D738D7" w:rsidP="00253218">
      <w:pPr>
        <w:pStyle w:val="NormalWeb"/>
        <w:shd w:val="clear" w:color="auto" w:fill="FFFFFF"/>
        <w:spacing w:before="120" w:beforeAutospacing="0" w:after="120" w:afterAutospacing="0"/>
        <w:ind w:left="-993" w:firstLine="142"/>
        <w:jc w:val="both"/>
        <w:rPr>
          <w:rFonts w:ascii="Arial" w:hAnsi="Arial" w:cs="Arial"/>
          <w:b/>
        </w:rPr>
      </w:pPr>
      <w:r>
        <w:rPr>
          <w:rFonts w:ascii="Arial" w:hAnsi="Arial" w:cs="Arial"/>
          <w:b/>
        </w:rPr>
        <w:t xml:space="preserve">  </w:t>
      </w:r>
      <w:r w:rsidR="004A0E19" w:rsidRPr="00253218">
        <w:rPr>
          <w:rFonts w:ascii="Arial" w:hAnsi="Arial" w:cs="Arial"/>
          <w:b/>
        </w:rPr>
        <w:t>Juntos dan muerte al </w:t>
      </w:r>
      <w:hyperlink r:id="rId9" w:tooltip="Gigante (mitología)" w:history="1">
        <w:r w:rsidR="004A0E19" w:rsidRPr="00253218">
          <w:rPr>
            <w:rStyle w:val="Hipervnculo"/>
            <w:rFonts w:ascii="Arial" w:hAnsi="Arial" w:cs="Arial"/>
            <w:b/>
            <w:color w:val="auto"/>
            <w:u w:val="none"/>
          </w:rPr>
          <w:t>gigante</w:t>
        </w:r>
      </w:hyperlink>
      <w:r w:rsidR="004A0E19" w:rsidRPr="00253218">
        <w:rPr>
          <w:rFonts w:ascii="Arial" w:hAnsi="Arial" w:cs="Arial"/>
          <w:b/>
        </w:rPr>
        <w:t> </w:t>
      </w:r>
      <w:proofErr w:type="spellStart"/>
      <w:r w:rsidR="00C415CA" w:rsidRPr="00253218">
        <w:rPr>
          <w:rFonts w:ascii="Arial" w:hAnsi="Arial" w:cs="Arial"/>
          <w:b/>
        </w:rPr>
        <w:fldChar w:fldCharType="begin"/>
      </w:r>
      <w:r w:rsidR="004A0E19" w:rsidRPr="00253218">
        <w:rPr>
          <w:rFonts w:ascii="Arial" w:hAnsi="Arial" w:cs="Arial"/>
          <w:b/>
        </w:rPr>
        <w:instrText xml:space="preserve"> HYPERLINK "https://es.wikipedia.org/wiki/Humbaba" \o "Humbaba" </w:instrText>
      </w:r>
      <w:r w:rsidR="00C415CA" w:rsidRPr="00253218">
        <w:rPr>
          <w:rFonts w:ascii="Arial" w:hAnsi="Arial" w:cs="Arial"/>
          <w:b/>
        </w:rPr>
        <w:fldChar w:fldCharType="separate"/>
      </w:r>
      <w:r w:rsidR="004A0E19" w:rsidRPr="00253218">
        <w:rPr>
          <w:rStyle w:val="Hipervnculo"/>
          <w:rFonts w:ascii="Arial" w:hAnsi="Arial" w:cs="Arial"/>
          <w:b/>
          <w:color w:val="auto"/>
          <w:u w:val="none"/>
        </w:rPr>
        <w:t>Humbaba</w:t>
      </w:r>
      <w:proofErr w:type="spellEnd"/>
      <w:r w:rsidR="00C415CA" w:rsidRPr="00253218">
        <w:rPr>
          <w:rFonts w:ascii="Arial" w:hAnsi="Arial" w:cs="Arial"/>
          <w:b/>
        </w:rPr>
        <w:fldChar w:fldCharType="end"/>
      </w:r>
      <w:r>
        <w:rPr>
          <w:rFonts w:ascii="Arial" w:hAnsi="Arial" w:cs="Arial"/>
          <w:b/>
        </w:rPr>
        <w:t> y al Toro del Cielo;</w:t>
      </w:r>
      <w:r w:rsidR="004A0E19" w:rsidRPr="00253218">
        <w:rPr>
          <w:rFonts w:ascii="Arial" w:hAnsi="Arial" w:cs="Arial"/>
          <w:b/>
        </w:rPr>
        <w:t xml:space="preserve"> y </w:t>
      </w:r>
      <w:proofErr w:type="spellStart"/>
      <w:r w:rsidR="004A0E19" w:rsidRPr="00253218">
        <w:rPr>
          <w:rFonts w:ascii="Arial" w:hAnsi="Arial" w:cs="Arial"/>
          <w:b/>
        </w:rPr>
        <w:t>Gilgamesh</w:t>
      </w:r>
      <w:proofErr w:type="spellEnd"/>
      <w:r w:rsidR="004A0E19" w:rsidRPr="00253218">
        <w:rPr>
          <w:rFonts w:ascii="Arial" w:hAnsi="Arial" w:cs="Arial"/>
          <w:b/>
        </w:rPr>
        <w:t xml:space="preserve"> rechaza el amor de la diosa</w:t>
      </w:r>
      <w:r w:rsidR="004A0E19" w:rsidRPr="00E4209C">
        <w:rPr>
          <w:rFonts w:ascii="Arial" w:hAnsi="Arial" w:cs="Arial"/>
          <w:b/>
          <w:color w:val="00B050"/>
        </w:rPr>
        <w:t> </w:t>
      </w:r>
      <w:proofErr w:type="spellStart"/>
      <w:r w:rsidR="00C415CA" w:rsidRPr="00E4209C">
        <w:rPr>
          <w:rFonts w:ascii="Arial" w:hAnsi="Arial" w:cs="Arial"/>
          <w:b/>
          <w:color w:val="00B050"/>
        </w:rPr>
        <w:fldChar w:fldCharType="begin"/>
      </w:r>
      <w:r w:rsidR="004A0E19" w:rsidRPr="00E4209C">
        <w:rPr>
          <w:rFonts w:ascii="Arial" w:hAnsi="Arial" w:cs="Arial"/>
          <w:b/>
          <w:color w:val="00B050"/>
        </w:rPr>
        <w:instrText xml:space="preserve"> HYPERLINK "https://es.wikipedia.org/wiki/Inanna" \o "Inanna" </w:instrText>
      </w:r>
      <w:r w:rsidR="00C415CA" w:rsidRPr="00E4209C">
        <w:rPr>
          <w:rFonts w:ascii="Arial" w:hAnsi="Arial" w:cs="Arial"/>
          <w:b/>
          <w:color w:val="00B050"/>
        </w:rPr>
        <w:fldChar w:fldCharType="separate"/>
      </w:r>
      <w:r w:rsidR="004A0E19" w:rsidRPr="00E4209C">
        <w:rPr>
          <w:rStyle w:val="Hipervnculo"/>
          <w:rFonts w:ascii="Arial" w:hAnsi="Arial" w:cs="Arial"/>
          <w:b/>
          <w:color w:val="00B050"/>
          <w:u w:val="none"/>
        </w:rPr>
        <w:t>Inanna</w:t>
      </w:r>
      <w:proofErr w:type="spellEnd"/>
      <w:r w:rsidR="00C415CA" w:rsidRPr="00E4209C">
        <w:rPr>
          <w:rFonts w:ascii="Arial" w:hAnsi="Arial" w:cs="Arial"/>
          <w:b/>
          <w:color w:val="00B050"/>
        </w:rPr>
        <w:fldChar w:fldCharType="end"/>
      </w:r>
      <w:r w:rsidR="004A0E19" w:rsidRPr="00253218">
        <w:rPr>
          <w:rFonts w:ascii="Arial" w:hAnsi="Arial" w:cs="Arial"/>
          <w:b/>
        </w:rPr>
        <w:t xml:space="preserve">. Como castigo a estos actos de impiedad, los dioses hacen que </w:t>
      </w:r>
      <w:proofErr w:type="spellStart"/>
      <w:r w:rsidR="004A0E19" w:rsidRPr="00253218">
        <w:rPr>
          <w:rFonts w:ascii="Arial" w:hAnsi="Arial" w:cs="Arial"/>
          <w:b/>
        </w:rPr>
        <w:t>Enkidu</w:t>
      </w:r>
      <w:proofErr w:type="spellEnd"/>
      <w:r w:rsidR="004A0E19" w:rsidRPr="00253218">
        <w:rPr>
          <w:rFonts w:ascii="Arial" w:hAnsi="Arial" w:cs="Arial"/>
          <w:b/>
        </w:rPr>
        <w:t xml:space="preserve"> muera en plena juventud. Impresionado por la desaparición de su amigo, </w:t>
      </w:r>
      <w:proofErr w:type="spellStart"/>
      <w:r w:rsidR="004A0E19" w:rsidRPr="00253218">
        <w:rPr>
          <w:rFonts w:ascii="Arial" w:hAnsi="Arial" w:cs="Arial"/>
          <w:b/>
        </w:rPr>
        <w:t>Gilgamesh</w:t>
      </w:r>
      <w:proofErr w:type="spellEnd"/>
      <w:r w:rsidR="004A0E19" w:rsidRPr="00253218">
        <w:rPr>
          <w:rFonts w:ascii="Arial" w:hAnsi="Arial" w:cs="Arial"/>
          <w:b/>
        </w:rPr>
        <w:t xml:space="preserve"> emprende la búsqueda de la inmortalidad, la cual le lleva hasta los confines del mundo, donde viven el sabio </w:t>
      </w:r>
      <w:proofErr w:type="spellStart"/>
      <w:r w:rsidR="00C415CA" w:rsidRPr="00253218">
        <w:rPr>
          <w:rFonts w:ascii="Arial" w:hAnsi="Arial" w:cs="Arial"/>
          <w:b/>
        </w:rPr>
        <w:fldChar w:fldCharType="begin"/>
      </w:r>
      <w:r w:rsidR="004A0E19" w:rsidRPr="00253218">
        <w:rPr>
          <w:rFonts w:ascii="Arial" w:hAnsi="Arial" w:cs="Arial"/>
          <w:b/>
        </w:rPr>
        <w:instrText xml:space="preserve"> HYPERLINK "https://es.wikipedia.org/wiki/Utnapishtim" \o "Utnapishtim" </w:instrText>
      </w:r>
      <w:r w:rsidR="00C415CA" w:rsidRPr="00253218">
        <w:rPr>
          <w:rFonts w:ascii="Arial" w:hAnsi="Arial" w:cs="Arial"/>
          <w:b/>
        </w:rPr>
        <w:fldChar w:fldCharType="separate"/>
      </w:r>
      <w:r w:rsidR="004A0E19" w:rsidRPr="00253218">
        <w:rPr>
          <w:rStyle w:val="Hipervnculo"/>
          <w:rFonts w:ascii="Arial" w:hAnsi="Arial" w:cs="Arial"/>
          <w:b/>
          <w:color w:val="auto"/>
          <w:u w:val="none"/>
        </w:rPr>
        <w:t>Utnapishtim</w:t>
      </w:r>
      <w:proofErr w:type="spellEnd"/>
      <w:r w:rsidR="00C415CA" w:rsidRPr="00253218">
        <w:rPr>
          <w:rFonts w:ascii="Arial" w:hAnsi="Arial" w:cs="Arial"/>
          <w:b/>
        </w:rPr>
        <w:fldChar w:fldCharType="end"/>
      </w:r>
      <w:r w:rsidR="004A0E19" w:rsidRPr="00253218">
        <w:rPr>
          <w:rFonts w:ascii="Arial" w:hAnsi="Arial" w:cs="Arial"/>
          <w:b/>
        </w:rPr>
        <w:t> y su mujer, únicos supervivientes del </w:t>
      </w:r>
      <w:hyperlink r:id="rId10" w:tooltip="Diluvio universal" w:history="1">
        <w:r w:rsidR="004A0E19" w:rsidRPr="00253218">
          <w:rPr>
            <w:rStyle w:val="Hipervnculo"/>
            <w:rFonts w:ascii="Arial" w:hAnsi="Arial" w:cs="Arial"/>
            <w:b/>
            <w:color w:val="auto"/>
            <w:u w:val="none"/>
          </w:rPr>
          <w:t>Diluvio</w:t>
        </w:r>
      </w:hyperlink>
      <w:r w:rsidR="004A0E19" w:rsidRPr="00253218">
        <w:rPr>
          <w:rFonts w:ascii="Arial" w:hAnsi="Arial" w:cs="Arial"/>
          <w:b/>
        </w:rPr>
        <w:t xml:space="preserve">, a los que los dioses concedieron el don que </w:t>
      </w:r>
      <w:proofErr w:type="spellStart"/>
      <w:r w:rsidR="004A0E19" w:rsidRPr="00253218">
        <w:rPr>
          <w:rFonts w:ascii="Arial" w:hAnsi="Arial" w:cs="Arial"/>
          <w:b/>
        </w:rPr>
        <w:t>Gilgamesh</w:t>
      </w:r>
      <w:proofErr w:type="spellEnd"/>
      <w:r w:rsidR="004A0E19" w:rsidRPr="00253218">
        <w:rPr>
          <w:rFonts w:ascii="Arial" w:hAnsi="Arial" w:cs="Arial"/>
          <w:b/>
        </w:rPr>
        <w:t xml:space="preserve"> pretende ahora. </w:t>
      </w:r>
    </w:p>
    <w:p w:rsidR="004A0E19" w:rsidRPr="00253218" w:rsidRDefault="00D738D7" w:rsidP="00253218">
      <w:pPr>
        <w:pStyle w:val="NormalWeb"/>
        <w:shd w:val="clear" w:color="auto" w:fill="FFFFFF"/>
        <w:spacing w:before="120" w:beforeAutospacing="0" w:after="120" w:afterAutospacing="0"/>
        <w:ind w:left="-993" w:firstLine="142"/>
        <w:jc w:val="both"/>
        <w:rPr>
          <w:rFonts w:ascii="Arial" w:hAnsi="Arial" w:cs="Arial"/>
          <w:b/>
        </w:rPr>
      </w:pPr>
      <w:r>
        <w:rPr>
          <w:rFonts w:ascii="Arial" w:hAnsi="Arial" w:cs="Arial"/>
          <w:b/>
        </w:rPr>
        <w:t xml:space="preserve">  </w:t>
      </w:r>
      <w:r w:rsidR="004A0E19" w:rsidRPr="00253218">
        <w:rPr>
          <w:rFonts w:ascii="Arial" w:hAnsi="Arial" w:cs="Arial"/>
          <w:b/>
        </w:rPr>
        <w:t xml:space="preserve">Sin embargo, el héroe no alcanza lo que pretende. En el camino de vuelta, encuentra, siguiendo instrucciones de </w:t>
      </w:r>
      <w:proofErr w:type="spellStart"/>
      <w:r w:rsidR="004A0E19" w:rsidRPr="00253218">
        <w:rPr>
          <w:rFonts w:ascii="Arial" w:hAnsi="Arial" w:cs="Arial"/>
          <w:b/>
        </w:rPr>
        <w:t>Utnapishtim</w:t>
      </w:r>
      <w:proofErr w:type="spellEnd"/>
      <w:r w:rsidR="004A0E19" w:rsidRPr="00253218">
        <w:rPr>
          <w:rFonts w:ascii="Arial" w:hAnsi="Arial" w:cs="Arial"/>
          <w:b/>
        </w:rPr>
        <w:t xml:space="preserve">, una planta que devuelve la juventud a quien la toma; pero una serpiente se la roba y </w:t>
      </w:r>
      <w:proofErr w:type="spellStart"/>
      <w:r w:rsidR="004A0E19" w:rsidRPr="00253218">
        <w:rPr>
          <w:rFonts w:ascii="Arial" w:hAnsi="Arial" w:cs="Arial"/>
          <w:b/>
        </w:rPr>
        <w:t>Gilgamesh</w:t>
      </w:r>
      <w:proofErr w:type="spellEnd"/>
      <w:r w:rsidR="004A0E19" w:rsidRPr="00253218">
        <w:rPr>
          <w:rFonts w:ascii="Arial" w:hAnsi="Arial" w:cs="Arial"/>
          <w:b/>
        </w:rPr>
        <w:t xml:space="preserve"> vuelve a </w:t>
      </w:r>
      <w:proofErr w:type="spellStart"/>
      <w:r w:rsidR="004A0E19" w:rsidRPr="00253218">
        <w:rPr>
          <w:rFonts w:ascii="Arial" w:hAnsi="Arial" w:cs="Arial"/>
          <w:b/>
        </w:rPr>
        <w:t>Uruk</w:t>
      </w:r>
      <w:proofErr w:type="spellEnd"/>
      <w:r w:rsidR="004A0E19" w:rsidRPr="00253218">
        <w:rPr>
          <w:rFonts w:ascii="Arial" w:hAnsi="Arial" w:cs="Arial"/>
          <w:b/>
        </w:rPr>
        <w:t xml:space="preserve"> con las manos vacías, convencido de que la inmortalidad es patrimonio exclusivo de los dioses.</w:t>
      </w:r>
    </w:p>
    <w:p w:rsidR="004A0E19" w:rsidRDefault="00D738D7" w:rsidP="00253218">
      <w:pPr>
        <w:pStyle w:val="NormalWeb"/>
        <w:shd w:val="clear" w:color="auto" w:fill="FFFFFF"/>
        <w:spacing w:before="120" w:beforeAutospacing="0" w:after="120" w:afterAutospacing="0"/>
        <w:ind w:left="-993" w:firstLine="142"/>
        <w:jc w:val="both"/>
        <w:rPr>
          <w:rFonts w:ascii="Arial" w:hAnsi="Arial" w:cs="Arial"/>
          <w:b/>
        </w:rPr>
      </w:pPr>
      <w:r>
        <w:rPr>
          <w:rFonts w:ascii="Arial" w:hAnsi="Arial" w:cs="Arial"/>
          <w:b/>
        </w:rPr>
        <w:t xml:space="preserve">  </w:t>
      </w:r>
      <w:r w:rsidR="004A0E19" w:rsidRPr="00253218">
        <w:rPr>
          <w:rFonts w:ascii="Arial" w:hAnsi="Arial" w:cs="Arial"/>
          <w:b/>
        </w:rPr>
        <w:t xml:space="preserve">El núcleo sentimental del poema se encuentra en el duelo de </w:t>
      </w:r>
      <w:proofErr w:type="spellStart"/>
      <w:r w:rsidR="004A0E19" w:rsidRPr="00253218">
        <w:rPr>
          <w:rFonts w:ascii="Arial" w:hAnsi="Arial" w:cs="Arial"/>
          <w:b/>
        </w:rPr>
        <w:t>Gilgamesh</w:t>
      </w:r>
      <w:proofErr w:type="spellEnd"/>
      <w:r w:rsidR="004A0E19" w:rsidRPr="00253218">
        <w:rPr>
          <w:rFonts w:ascii="Arial" w:hAnsi="Arial" w:cs="Arial"/>
          <w:b/>
        </w:rPr>
        <w:t xml:space="preserve"> tras la muerte de su amigo. Los críticos consideran que es la primera obra </w:t>
      </w:r>
      <w:hyperlink r:id="rId11" w:tooltip="Literatura" w:history="1">
        <w:r w:rsidR="004A0E19" w:rsidRPr="00253218">
          <w:rPr>
            <w:rStyle w:val="Hipervnculo"/>
            <w:rFonts w:ascii="Arial" w:hAnsi="Arial" w:cs="Arial"/>
            <w:b/>
            <w:color w:val="auto"/>
            <w:u w:val="none"/>
          </w:rPr>
          <w:t>literaria</w:t>
        </w:r>
      </w:hyperlink>
      <w:r w:rsidR="004A0E19" w:rsidRPr="00253218">
        <w:rPr>
          <w:rFonts w:ascii="Arial" w:hAnsi="Arial" w:cs="Arial"/>
          <w:b/>
        </w:rPr>
        <w:t> que hace énfasis en la mortalidad humana frente a la </w:t>
      </w:r>
      <w:hyperlink r:id="rId12" w:tooltip="Inmortalidad" w:history="1">
        <w:r w:rsidR="004A0E19" w:rsidRPr="00253218">
          <w:rPr>
            <w:rStyle w:val="Hipervnculo"/>
            <w:rFonts w:ascii="Arial" w:hAnsi="Arial" w:cs="Arial"/>
            <w:b/>
            <w:color w:val="auto"/>
            <w:u w:val="none"/>
          </w:rPr>
          <w:t>inmortalidad</w:t>
        </w:r>
      </w:hyperlink>
      <w:r w:rsidR="004A0E19" w:rsidRPr="00253218">
        <w:rPr>
          <w:rFonts w:ascii="Arial" w:hAnsi="Arial" w:cs="Arial"/>
          <w:b/>
        </w:rPr>
        <w:t> de los dioses. El poema incluye una versión del mito del </w:t>
      </w:r>
      <w:hyperlink r:id="rId13" w:tooltip="Diluvio universal" w:history="1">
        <w:r w:rsidR="004A0E19" w:rsidRPr="00253218">
          <w:rPr>
            <w:rStyle w:val="Hipervnculo"/>
            <w:rFonts w:ascii="Arial" w:hAnsi="Arial" w:cs="Arial"/>
            <w:b/>
            <w:color w:val="auto"/>
            <w:u w:val="none"/>
          </w:rPr>
          <w:t>diluvio universal</w:t>
        </w:r>
      </w:hyperlink>
      <w:r w:rsidR="004A0E19" w:rsidRPr="00253218">
        <w:rPr>
          <w:rFonts w:ascii="Arial" w:hAnsi="Arial" w:cs="Arial"/>
          <w:b/>
        </w:rPr>
        <w:t>.</w:t>
      </w:r>
    </w:p>
    <w:p w:rsidR="00D738D7" w:rsidRPr="00D738D7" w:rsidRDefault="00D738D7" w:rsidP="00253218">
      <w:pPr>
        <w:shd w:val="clear" w:color="auto" w:fill="FFFFFF"/>
        <w:spacing w:before="120" w:after="120" w:line="240" w:lineRule="auto"/>
        <w:ind w:left="-993" w:firstLine="142"/>
        <w:jc w:val="both"/>
        <w:rPr>
          <w:rFonts w:ascii="Arial" w:eastAsia="Times New Roman" w:hAnsi="Arial" w:cs="Arial"/>
          <w:b/>
          <w:color w:val="FF0000"/>
          <w:sz w:val="24"/>
          <w:szCs w:val="24"/>
          <w:lang w:eastAsia="es-ES"/>
        </w:rPr>
      </w:pPr>
      <w:r w:rsidRPr="00D738D7">
        <w:rPr>
          <w:rFonts w:ascii="Arial" w:eastAsia="Times New Roman" w:hAnsi="Arial" w:cs="Arial"/>
          <w:b/>
          <w:color w:val="FF0000"/>
          <w:sz w:val="24"/>
          <w:szCs w:val="24"/>
          <w:lang w:eastAsia="es-ES"/>
        </w:rPr>
        <w:t xml:space="preserve">  Los datos de otras zonas de la epopeya</w:t>
      </w:r>
    </w:p>
    <w:p w:rsidR="004A0E19" w:rsidRPr="00253218" w:rsidRDefault="004A0E19" w:rsidP="0025321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El rey </w:t>
      </w:r>
      <w:hyperlink r:id="rId14" w:tooltip="Asurbanipal" w:history="1">
        <w:r w:rsidRPr="00253218">
          <w:rPr>
            <w:rFonts w:ascii="Arial" w:eastAsia="Times New Roman" w:hAnsi="Arial" w:cs="Arial"/>
            <w:b/>
            <w:sz w:val="24"/>
            <w:szCs w:val="24"/>
            <w:lang w:eastAsia="es-ES"/>
          </w:rPr>
          <w:t>Asurbanipal</w:t>
        </w:r>
      </w:hyperlink>
      <w:r w:rsidRPr="00253218">
        <w:rPr>
          <w:rFonts w:ascii="Arial" w:eastAsia="Times New Roman" w:hAnsi="Arial" w:cs="Arial"/>
          <w:b/>
          <w:sz w:val="24"/>
          <w:szCs w:val="24"/>
          <w:lang w:eastAsia="es-ES"/>
        </w:rPr>
        <w:t> de </w:t>
      </w:r>
      <w:hyperlink r:id="rId15" w:tooltip="Nínive" w:history="1">
        <w:r w:rsidRPr="00253218">
          <w:rPr>
            <w:rFonts w:ascii="Arial" w:eastAsia="Times New Roman" w:hAnsi="Arial" w:cs="Arial"/>
            <w:b/>
            <w:sz w:val="24"/>
            <w:szCs w:val="24"/>
            <w:lang w:eastAsia="es-ES"/>
          </w:rPr>
          <w:t>Nínive</w:t>
        </w:r>
      </w:hyperlink>
      <w:r w:rsidRPr="00253218">
        <w:rPr>
          <w:rFonts w:ascii="Arial" w:eastAsia="Times New Roman" w:hAnsi="Arial" w:cs="Arial"/>
          <w:b/>
          <w:sz w:val="24"/>
          <w:szCs w:val="24"/>
          <w:lang w:eastAsia="es-ES"/>
        </w:rPr>
        <w:t> hizo transcribir la epopeya, dentro de su empeño por copiar todos los documentos escritos del mundo conocido. Hacia el año </w:t>
      </w:r>
      <w:hyperlink r:id="rId16" w:tooltip="612 a. C." w:history="1">
        <w:r w:rsidRPr="00253218">
          <w:rPr>
            <w:rFonts w:ascii="Arial" w:eastAsia="Times New Roman" w:hAnsi="Arial" w:cs="Arial"/>
            <w:b/>
            <w:sz w:val="24"/>
            <w:szCs w:val="24"/>
            <w:lang w:eastAsia="es-ES"/>
          </w:rPr>
          <w:t>612 a. C.</w:t>
        </w:r>
      </w:hyperlink>
      <w:r w:rsidRPr="00253218">
        <w:rPr>
          <w:rFonts w:ascii="Arial" w:eastAsia="Times New Roman" w:hAnsi="Arial" w:cs="Arial"/>
          <w:b/>
          <w:sz w:val="24"/>
          <w:szCs w:val="24"/>
          <w:lang w:eastAsia="es-ES"/>
        </w:rPr>
        <w:t>, Nínive fue destruida por invasores y no fue hasta </w:t>
      </w:r>
      <w:hyperlink r:id="rId17" w:tooltip="1845" w:history="1">
        <w:r w:rsidRPr="00253218">
          <w:rPr>
            <w:rFonts w:ascii="Arial" w:eastAsia="Times New Roman" w:hAnsi="Arial" w:cs="Arial"/>
            <w:b/>
            <w:sz w:val="24"/>
            <w:szCs w:val="24"/>
            <w:lang w:eastAsia="es-ES"/>
          </w:rPr>
          <w:t>1845</w:t>
        </w:r>
      </w:hyperlink>
      <w:r w:rsidRPr="00253218">
        <w:rPr>
          <w:rFonts w:ascii="Arial" w:eastAsia="Times New Roman" w:hAnsi="Arial" w:cs="Arial"/>
          <w:b/>
          <w:sz w:val="24"/>
          <w:szCs w:val="24"/>
          <w:lang w:eastAsia="es-ES"/>
        </w:rPr>
        <w:t> que el explorador británico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"https://es.wikipedia.org/wiki/Austen_Henry_Layard" \o "Austen Henry Layard"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Austen</w:t>
      </w:r>
      <w:proofErr w:type="spellEnd"/>
      <w:r w:rsidRPr="00253218">
        <w:rPr>
          <w:rFonts w:ascii="Arial" w:eastAsia="Times New Roman" w:hAnsi="Arial" w:cs="Arial"/>
          <w:b/>
          <w:sz w:val="24"/>
          <w:szCs w:val="24"/>
          <w:lang w:eastAsia="es-ES"/>
        </w:rPr>
        <w:t xml:space="preserve"> Henry </w:t>
      </w:r>
      <w:proofErr w:type="spellStart"/>
      <w:r w:rsidRPr="00253218">
        <w:rPr>
          <w:rFonts w:ascii="Arial" w:eastAsia="Times New Roman" w:hAnsi="Arial" w:cs="Arial"/>
          <w:b/>
          <w:sz w:val="24"/>
          <w:szCs w:val="24"/>
          <w:lang w:eastAsia="es-ES"/>
        </w:rPr>
        <w:t>Layard</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localizó sus restos, cerca de </w:t>
      </w:r>
      <w:hyperlink r:id="rId18" w:tooltip="Mosul" w:history="1">
        <w:r w:rsidRPr="00253218">
          <w:rPr>
            <w:rFonts w:ascii="Arial" w:eastAsia="Times New Roman" w:hAnsi="Arial" w:cs="Arial"/>
            <w:b/>
            <w:sz w:val="24"/>
            <w:szCs w:val="24"/>
            <w:lang w:eastAsia="es-ES"/>
          </w:rPr>
          <w:t>Mosul</w:t>
        </w:r>
      </w:hyperlink>
      <w:r w:rsidRPr="00253218">
        <w:rPr>
          <w:rFonts w:ascii="Arial" w:eastAsia="Times New Roman" w:hAnsi="Arial" w:cs="Arial"/>
          <w:b/>
          <w:sz w:val="24"/>
          <w:szCs w:val="24"/>
          <w:lang w:eastAsia="es-ES"/>
        </w:rPr>
        <w:t>, en </w:t>
      </w:r>
      <w:hyperlink r:id="rId19" w:tooltip="Irak" w:history="1">
        <w:r w:rsidRPr="00253218">
          <w:rPr>
            <w:rFonts w:ascii="Arial" w:eastAsia="Times New Roman" w:hAnsi="Arial" w:cs="Arial"/>
            <w:b/>
            <w:sz w:val="24"/>
            <w:szCs w:val="24"/>
            <w:lang w:eastAsia="es-ES"/>
          </w:rPr>
          <w:t>Irak</w:t>
        </w:r>
      </w:hyperlink>
      <w:r w:rsidRPr="00253218">
        <w:rPr>
          <w:rFonts w:ascii="Arial" w:eastAsia="Times New Roman" w:hAnsi="Arial" w:cs="Arial"/>
          <w:b/>
          <w:sz w:val="24"/>
          <w:szCs w:val="24"/>
          <w:lang w:eastAsia="es-ES"/>
        </w:rPr>
        <w:t>.</w:t>
      </w:r>
    </w:p>
    <w:p w:rsidR="004A0E19" w:rsidRPr="00253218" w:rsidRDefault="004A0E19" w:rsidP="0025321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Del contenido de su biblioteca, actualmente se conserva una pequeña fracción, compuesta por 25 000 tablillas, depositadas en el </w:t>
      </w:r>
      <w:hyperlink r:id="rId20" w:tooltip="Museo Británico" w:history="1">
        <w:r w:rsidRPr="00253218">
          <w:rPr>
            <w:rFonts w:ascii="Arial" w:eastAsia="Times New Roman" w:hAnsi="Arial" w:cs="Arial"/>
            <w:b/>
            <w:sz w:val="24"/>
            <w:szCs w:val="24"/>
            <w:lang w:eastAsia="es-ES"/>
          </w:rPr>
          <w:t>Museo Británico</w:t>
        </w:r>
      </w:hyperlink>
      <w:r w:rsidRPr="00253218">
        <w:rPr>
          <w:rFonts w:ascii="Arial" w:eastAsia="Times New Roman" w:hAnsi="Arial" w:cs="Arial"/>
          <w:b/>
          <w:sz w:val="24"/>
          <w:szCs w:val="24"/>
          <w:lang w:eastAsia="es-ES"/>
        </w:rPr>
        <w:t>. </w:t>
      </w:r>
      <w:hyperlink r:id="rId21" w:tooltip="George Smith (asiriólogo)" w:history="1">
        <w:r w:rsidRPr="00253218">
          <w:rPr>
            <w:rFonts w:ascii="Arial" w:eastAsia="Times New Roman" w:hAnsi="Arial" w:cs="Arial"/>
            <w:b/>
            <w:sz w:val="24"/>
            <w:szCs w:val="24"/>
            <w:lang w:eastAsia="es-ES"/>
          </w:rPr>
          <w:t>George Smith</w:t>
        </w:r>
      </w:hyperlink>
      <w:r w:rsidRPr="00253218">
        <w:rPr>
          <w:rFonts w:ascii="Arial" w:eastAsia="Times New Roman" w:hAnsi="Arial" w:cs="Arial"/>
          <w:b/>
          <w:sz w:val="24"/>
          <w:szCs w:val="24"/>
          <w:lang w:eastAsia="es-ES"/>
        </w:rPr>
        <w:t> comenzó a traducirlas a partir de </w:t>
      </w:r>
      <w:hyperlink r:id="rId22" w:tooltip="1872" w:history="1">
        <w:r w:rsidRPr="00253218">
          <w:rPr>
            <w:rFonts w:ascii="Arial" w:eastAsia="Times New Roman" w:hAnsi="Arial" w:cs="Arial"/>
            <w:b/>
            <w:sz w:val="24"/>
            <w:szCs w:val="24"/>
            <w:lang w:eastAsia="es-ES"/>
          </w:rPr>
          <w:t>1872</w:t>
        </w:r>
      </w:hyperlink>
      <w:r w:rsidRPr="00253218">
        <w:rPr>
          <w:rFonts w:ascii="Arial" w:eastAsia="Times New Roman" w:hAnsi="Arial" w:cs="Arial"/>
          <w:b/>
          <w:sz w:val="24"/>
          <w:szCs w:val="24"/>
          <w:lang w:eastAsia="es-ES"/>
        </w:rPr>
        <w:t>.</w:t>
      </w:r>
      <w:r w:rsidR="00D738D7" w:rsidRPr="00253218">
        <w:rPr>
          <w:rFonts w:ascii="Arial" w:eastAsia="Times New Roman" w:hAnsi="Arial" w:cs="Arial"/>
          <w:b/>
          <w:sz w:val="24"/>
          <w:szCs w:val="24"/>
          <w:lang w:eastAsia="es-ES"/>
        </w:rPr>
        <w:t xml:space="preserve"> </w:t>
      </w:r>
      <w:r w:rsidRPr="00253218">
        <w:rPr>
          <w:rFonts w:ascii="Arial" w:eastAsia="Times New Roman" w:hAnsi="Arial" w:cs="Arial"/>
          <w:b/>
          <w:sz w:val="24"/>
          <w:szCs w:val="24"/>
          <w:lang w:eastAsia="es-ES"/>
        </w:rPr>
        <w:t>​ Más recientemente, en </w:t>
      </w:r>
      <w:hyperlink r:id="rId23" w:tooltip="1984" w:history="1">
        <w:r w:rsidRPr="00253218">
          <w:rPr>
            <w:rFonts w:ascii="Arial" w:eastAsia="Times New Roman" w:hAnsi="Arial" w:cs="Arial"/>
            <w:b/>
            <w:sz w:val="24"/>
            <w:szCs w:val="24"/>
            <w:lang w:eastAsia="es-ES"/>
          </w:rPr>
          <w:t>1984</w:t>
        </w:r>
      </w:hyperlink>
      <w:r w:rsidRPr="00253218">
        <w:rPr>
          <w:rFonts w:ascii="Arial" w:eastAsia="Times New Roman" w:hAnsi="Arial" w:cs="Arial"/>
          <w:b/>
          <w:sz w:val="24"/>
          <w:szCs w:val="24"/>
          <w:lang w:eastAsia="es-ES"/>
        </w:rPr>
        <w:t>, se tradujo el poema con la participación del escritor </w:t>
      </w:r>
      <w:hyperlink r:id="rId24" w:tooltip="John Gardner" w:history="1">
        <w:r w:rsidRPr="00253218">
          <w:rPr>
            <w:rFonts w:ascii="Arial" w:eastAsia="Times New Roman" w:hAnsi="Arial" w:cs="Arial"/>
            <w:b/>
            <w:sz w:val="24"/>
            <w:szCs w:val="24"/>
            <w:lang w:eastAsia="es-ES"/>
          </w:rPr>
          <w:t>John Gardner</w:t>
        </w:r>
      </w:hyperlink>
      <w:r w:rsidRPr="00253218">
        <w:rPr>
          <w:rFonts w:ascii="Arial" w:eastAsia="Times New Roman" w:hAnsi="Arial" w:cs="Arial"/>
          <w:b/>
          <w:sz w:val="24"/>
          <w:szCs w:val="24"/>
          <w:lang w:eastAsia="es-ES"/>
        </w:rPr>
        <w:t>.</w:t>
      </w:r>
    </w:p>
    <w:p w:rsidR="004A0E19" w:rsidRPr="00253218" w:rsidRDefault="004A0E19" w:rsidP="0025321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El poema cuenta la historia de las aventuras del rey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"https://es.wikipedia.org/wiki/Gilgamesh" \o "Gilgamesh"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Gilgamesh</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de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"https://es.wikipedia.org/wiki/Uruk" \o "Uruk"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Uruk</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que debió de gobernar hacia el año </w:t>
      </w:r>
      <w:hyperlink r:id="rId25" w:tooltip="2500 a. C." w:history="1">
        <w:r w:rsidRPr="00253218">
          <w:rPr>
            <w:rFonts w:ascii="Arial" w:eastAsia="Times New Roman" w:hAnsi="Arial" w:cs="Arial"/>
            <w:b/>
            <w:sz w:val="24"/>
            <w:szCs w:val="24"/>
            <w:lang w:eastAsia="es-ES"/>
          </w:rPr>
          <w:t>2500 a. C.</w:t>
        </w:r>
      </w:hyperlink>
      <w:r w:rsidRPr="00253218">
        <w:rPr>
          <w:rFonts w:ascii="Arial" w:eastAsia="Times New Roman" w:hAnsi="Arial" w:cs="Arial"/>
          <w:b/>
          <w:sz w:val="24"/>
          <w:szCs w:val="24"/>
          <w:lang w:eastAsia="es-ES"/>
        </w:rPr>
        <w:t> La epopeya, muy posterior a su reinado, recoge y elabora las leyendas que circulaban sobre él en la tradición oral.</w:t>
      </w:r>
    </w:p>
    <w:p w:rsidR="004A0E19" w:rsidRPr="00253218" w:rsidRDefault="004A0E19" w:rsidP="0025321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253218">
        <w:rPr>
          <w:rFonts w:ascii="Arial" w:eastAsia="Times New Roman" w:hAnsi="Arial" w:cs="Arial"/>
          <w:b/>
          <w:sz w:val="24"/>
          <w:szCs w:val="24"/>
          <w:lang w:eastAsia="es-ES"/>
        </w:rPr>
        <w:t xml:space="preserve">De las doce tablillas sobre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once conforman el poema, probablemente escrito en la primera mitad del </w:t>
      </w:r>
      <w:hyperlink r:id="rId26" w:tooltip="II milenio a. C." w:history="1">
        <w:r w:rsidRPr="00253218">
          <w:rPr>
            <w:rFonts w:ascii="Arial" w:eastAsia="Times New Roman" w:hAnsi="Arial" w:cs="Arial"/>
            <w:b/>
            <w:sz w:val="24"/>
            <w:szCs w:val="24"/>
            <w:lang w:eastAsia="es-ES"/>
          </w:rPr>
          <w:t>II milenio a. C.</w:t>
        </w:r>
      </w:hyperlink>
      <w:r w:rsidRPr="00253218">
        <w:rPr>
          <w:rFonts w:ascii="Arial" w:eastAsia="Times New Roman" w:hAnsi="Arial" w:cs="Arial"/>
          <w:b/>
          <w:sz w:val="24"/>
          <w:szCs w:val="24"/>
          <w:lang w:eastAsia="es-ES"/>
        </w:rPr>
        <w:t>. La duodécima posiblemente fue tallada (en el final del </w:t>
      </w:r>
      <w:hyperlink r:id="rId27" w:tooltip="I milenio a. C." w:history="1">
        <w:r w:rsidRPr="00253218">
          <w:rPr>
            <w:rFonts w:ascii="Arial" w:eastAsia="Times New Roman" w:hAnsi="Arial" w:cs="Arial"/>
            <w:b/>
            <w:sz w:val="24"/>
            <w:szCs w:val="24"/>
            <w:lang w:eastAsia="es-ES"/>
          </w:rPr>
          <w:t>I milenio a. C.</w:t>
        </w:r>
      </w:hyperlink>
      <w:r w:rsidRPr="00253218">
        <w:rPr>
          <w:rFonts w:ascii="Arial" w:eastAsia="Times New Roman" w:hAnsi="Arial" w:cs="Arial"/>
          <w:b/>
          <w:sz w:val="24"/>
          <w:szCs w:val="24"/>
          <w:lang w:eastAsia="es-ES"/>
        </w:rPr>
        <w:t>).</w:t>
      </w:r>
    </w:p>
    <w:p w:rsidR="00D738D7" w:rsidRDefault="00D738D7" w:rsidP="00D738D7">
      <w:pPr>
        <w:ind w:left="-993" w:firstLine="142"/>
        <w:jc w:val="both"/>
        <w:rPr>
          <w:rFonts w:ascii="Arial" w:hAnsi="Arial" w:cs="Arial"/>
          <w:b/>
          <w:color w:val="FF0000"/>
          <w:sz w:val="24"/>
          <w:szCs w:val="24"/>
        </w:rPr>
      </w:pPr>
      <w:r>
        <w:rPr>
          <w:rFonts w:ascii="Arial" w:hAnsi="Arial" w:cs="Arial"/>
          <w:b/>
          <w:sz w:val="24"/>
          <w:szCs w:val="24"/>
        </w:rPr>
        <w:t xml:space="preserve"> </w:t>
      </w:r>
      <w:r w:rsidRPr="00D738D7">
        <w:rPr>
          <w:rFonts w:ascii="Arial" w:hAnsi="Arial" w:cs="Arial"/>
          <w:b/>
          <w:color w:val="FF0000"/>
          <w:sz w:val="24"/>
          <w:szCs w:val="24"/>
        </w:rPr>
        <w:t>Algunas referencias</w:t>
      </w:r>
    </w:p>
    <w:p w:rsidR="00D738D7" w:rsidRDefault="00D738D7" w:rsidP="00D738D7">
      <w:pPr>
        <w:spacing w:after="0" w:line="240" w:lineRule="auto"/>
        <w:ind w:left="-993" w:firstLine="142"/>
        <w:jc w:val="both"/>
        <w:rPr>
          <w:rFonts w:ascii="Arial" w:eastAsia="Times New Roman" w:hAnsi="Arial" w:cs="Arial"/>
          <w:b/>
          <w:sz w:val="24"/>
          <w:szCs w:val="24"/>
          <w:lang w:eastAsia="es-ES"/>
        </w:rPr>
      </w:pPr>
      <w:r>
        <w:rPr>
          <w:rFonts w:ascii="Arial" w:hAnsi="Arial" w:cs="Arial"/>
          <w:b/>
          <w:color w:val="FF0000"/>
          <w:sz w:val="24"/>
          <w:szCs w:val="24"/>
        </w:rPr>
        <w:t xml:space="preserve">    </w:t>
      </w:r>
      <w:r>
        <w:rPr>
          <w:rFonts w:ascii="Arial" w:eastAsia="Times New Roman" w:hAnsi="Arial" w:cs="Arial"/>
          <w:b/>
          <w:sz w:val="24"/>
          <w:szCs w:val="24"/>
          <w:lang w:eastAsia="es-ES"/>
        </w:rPr>
        <w:t>La</w:t>
      </w:r>
      <w:r w:rsidR="004A0E19" w:rsidRPr="00253218">
        <w:rPr>
          <w:rFonts w:ascii="Arial" w:eastAsia="Times New Roman" w:hAnsi="Arial" w:cs="Arial"/>
          <w:b/>
          <w:sz w:val="24"/>
          <w:szCs w:val="24"/>
          <w:lang w:eastAsia="es-ES"/>
        </w:rPr>
        <w:t xml:space="preserve"> historia comienza con la presentación de </w:t>
      </w:r>
      <w:proofErr w:type="spellStart"/>
      <w:r w:rsidR="004A0E19" w:rsidRPr="00253218">
        <w:rPr>
          <w:rFonts w:ascii="Arial" w:eastAsia="Times New Roman" w:hAnsi="Arial" w:cs="Arial"/>
          <w:b/>
          <w:sz w:val="24"/>
          <w:szCs w:val="24"/>
          <w:lang w:eastAsia="es-ES"/>
        </w:rPr>
        <w:t>Gilgamesh</w:t>
      </w:r>
      <w:proofErr w:type="spellEnd"/>
      <w:r w:rsidR="004A0E19" w:rsidRPr="00253218">
        <w:rPr>
          <w:rFonts w:ascii="Arial" w:eastAsia="Times New Roman" w:hAnsi="Arial" w:cs="Arial"/>
          <w:b/>
          <w:sz w:val="24"/>
          <w:szCs w:val="24"/>
          <w:lang w:eastAsia="es-ES"/>
        </w:rPr>
        <w:t xml:space="preserve"> de </w:t>
      </w:r>
      <w:proofErr w:type="spellStart"/>
      <w:r w:rsidR="00C415CA" w:rsidRPr="00253218">
        <w:rPr>
          <w:rFonts w:ascii="Arial" w:eastAsia="Times New Roman" w:hAnsi="Arial" w:cs="Arial"/>
          <w:b/>
          <w:sz w:val="24"/>
          <w:szCs w:val="24"/>
          <w:lang w:eastAsia="es-ES"/>
        </w:rPr>
        <w:fldChar w:fldCharType="begin"/>
      </w:r>
      <w:r w:rsidR="004A0E19" w:rsidRPr="00253218">
        <w:rPr>
          <w:rFonts w:ascii="Arial" w:eastAsia="Times New Roman" w:hAnsi="Arial" w:cs="Arial"/>
          <w:b/>
          <w:sz w:val="24"/>
          <w:szCs w:val="24"/>
          <w:lang w:eastAsia="es-ES"/>
        </w:rPr>
        <w:instrText xml:space="preserve"> HYPERLINK "https://es.wikipedia.org/wiki/Uruk" \o "Uruk" </w:instrText>
      </w:r>
      <w:r w:rsidR="00C415CA" w:rsidRPr="00253218">
        <w:rPr>
          <w:rFonts w:ascii="Arial" w:eastAsia="Times New Roman" w:hAnsi="Arial" w:cs="Arial"/>
          <w:b/>
          <w:sz w:val="24"/>
          <w:szCs w:val="24"/>
          <w:lang w:eastAsia="es-ES"/>
        </w:rPr>
        <w:fldChar w:fldCharType="separate"/>
      </w:r>
      <w:r w:rsidR="004A0E19" w:rsidRPr="00253218">
        <w:rPr>
          <w:rFonts w:ascii="Arial" w:eastAsia="Times New Roman" w:hAnsi="Arial" w:cs="Arial"/>
          <w:b/>
          <w:sz w:val="24"/>
          <w:szCs w:val="24"/>
          <w:lang w:eastAsia="es-ES"/>
        </w:rPr>
        <w:t>Uruk</w:t>
      </w:r>
      <w:proofErr w:type="spellEnd"/>
      <w:r w:rsidR="00C415CA" w:rsidRPr="00253218">
        <w:rPr>
          <w:rFonts w:ascii="Arial" w:eastAsia="Times New Roman" w:hAnsi="Arial" w:cs="Arial"/>
          <w:b/>
          <w:sz w:val="24"/>
          <w:szCs w:val="24"/>
          <w:lang w:eastAsia="es-ES"/>
        </w:rPr>
        <w:fldChar w:fldCharType="end"/>
      </w:r>
      <w:r w:rsidR="004A0E19" w:rsidRPr="00253218">
        <w:rPr>
          <w:rFonts w:ascii="Arial" w:eastAsia="Times New Roman" w:hAnsi="Arial" w:cs="Arial"/>
          <w:b/>
          <w:sz w:val="24"/>
          <w:szCs w:val="24"/>
          <w:lang w:eastAsia="es-ES"/>
        </w:rPr>
        <w:t xml:space="preserve">, el mayor rey de la Tierra, dos terceras partes dios y una humano, el más fuerte rey-deidad que jamás haya existido. La introducción describe su gloria y triunfos, así como los muros de ladrillo de la ciudad. </w:t>
      </w:r>
    </w:p>
    <w:p w:rsidR="00D738D7" w:rsidRDefault="00D738D7" w:rsidP="00D738D7">
      <w:pPr>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A0E19" w:rsidRPr="00253218">
        <w:rPr>
          <w:rFonts w:ascii="Arial" w:eastAsia="Times New Roman" w:hAnsi="Arial" w:cs="Arial"/>
          <w:b/>
          <w:sz w:val="24"/>
          <w:szCs w:val="24"/>
          <w:lang w:eastAsia="es-ES"/>
        </w:rPr>
        <w:t xml:space="preserve">La gente en la época de </w:t>
      </w:r>
      <w:proofErr w:type="spellStart"/>
      <w:r w:rsidR="004A0E19" w:rsidRPr="00253218">
        <w:rPr>
          <w:rFonts w:ascii="Arial" w:eastAsia="Times New Roman" w:hAnsi="Arial" w:cs="Arial"/>
          <w:b/>
          <w:sz w:val="24"/>
          <w:szCs w:val="24"/>
          <w:lang w:eastAsia="es-ES"/>
        </w:rPr>
        <w:t>Gilgamesh</w:t>
      </w:r>
      <w:proofErr w:type="spellEnd"/>
      <w:r w:rsidR="004A0E19" w:rsidRPr="00253218">
        <w:rPr>
          <w:rFonts w:ascii="Arial" w:eastAsia="Times New Roman" w:hAnsi="Arial" w:cs="Arial"/>
          <w:b/>
          <w:sz w:val="24"/>
          <w:szCs w:val="24"/>
          <w:lang w:eastAsia="es-ES"/>
        </w:rPr>
        <w:t>, sin embargo, no era feliz. Se quejaban de que él era demasiado severo y abusaba de su poder durmiendo con las mujeres antes que sus esposos (</w:t>
      </w:r>
      <w:hyperlink r:id="rId28" w:tooltip="Derecho de pernada" w:history="1">
        <w:r w:rsidR="004A0E19" w:rsidRPr="00253218">
          <w:rPr>
            <w:rFonts w:ascii="Arial" w:eastAsia="Times New Roman" w:hAnsi="Arial" w:cs="Arial"/>
            <w:b/>
            <w:sz w:val="24"/>
            <w:szCs w:val="24"/>
            <w:lang w:eastAsia="es-ES"/>
          </w:rPr>
          <w:t>derecho de pernada</w:t>
        </w:r>
      </w:hyperlink>
      <w:r w:rsidR="004A0E19" w:rsidRPr="00253218">
        <w:rPr>
          <w:rFonts w:ascii="Arial" w:eastAsia="Times New Roman" w:hAnsi="Arial" w:cs="Arial"/>
          <w:b/>
          <w:sz w:val="24"/>
          <w:szCs w:val="24"/>
          <w:lang w:eastAsia="es-ES"/>
        </w:rPr>
        <w:t>); entonces, la diosa de la creación, </w:t>
      </w:r>
      <w:proofErr w:type="spellStart"/>
      <w:r w:rsidR="00C415CA" w:rsidRPr="00E4209C">
        <w:rPr>
          <w:rFonts w:ascii="Arial" w:eastAsia="Times New Roman" w:hAnsi="Arial" w:cs="Arial"/>
          <w:b/>
          <w:color w:val="00B050"/>
          <w:sz w:val="24"/>
          <w:szCs w:val="24"/>
          <w:lang w:eastAsia="es-ES"/>
        </w:rPr>
        <w:fldChar w:fldCharType="begin"/>
      </w:r>
      <w:r w:rsidR="004A0E19" w:rsidRPr="00E4209C">
        <w:rPr>
          <w:rFonts w:ascii="Arial" w:eastAsia="Times New Roman" w:hAnsi="Arial" w:cs="Arial"/>
          <w:b/>
          <w:color w:val="00B050"/>
          <w:sz w:val="24"/>
          <w:szCs w:val="24"/>
          <w:lang w:eastAsia="es-ES"/>
        </w:rPr>
        <w:instrText xml:space="preserve"> HYPERLINK "https://es.wikipedia.org/wiki/Ninhursag" \o "Ninhursag" </w:instrText>
      </w:r>
      <w:r w:rsidR="00C415CA" w:rsidRPr="00E4209C">
        <w:rPr>
          <w:rFonts w:ascii="Arial" w:eastAsia="Times New Roman" w:hAnsi="Arial" w:cs="Arial"/>
          <w:b/>
          <w:color w:val="00B050"/>
          <w:sz w:val="24"/>
          <w:szCs w:val="24"/>
          <w:lang w:eastAsia="es-ES"/>
        </w:rPr>
        <w:fldChar w:fldCharType="separate"/>
      </w:r>
      <w:r w:rsidR="004A0E19" w:rsidRPr="00E4209C">
        <w:rPr>
          <w:rFonts w:ascii="Arial" w:eastAsia="Times New Roman" w:hAnsi="Arial" w:cs="Arial"/>
          <w:b/>
          <w:color w:val="00B050"/>
          <w:sz w:val="24"/>
          <w:szCs w:val="24"/>
          <w:lang w:eastAsia="es-ES"/>
        </w:rPr>
        <w:t>Ninhursag</w:t>
      </w:r>
      <w:proofErr w:type="spellEnd"/>
      <w:r w:rsidR="00C415CA" w:rsidRPr="00E4209C">
        <w:rPr>
          <w:rFonts w:ascii="Arial" w:eastAsia="Times New Roman" w:hAnsi="Arial" w:cs="Arial"/>
          <w:b/>
          <w:color w:val="00B050"/>
          <w:sz w:val="24"/>
          <w:szCs w:val="24"/>
          <w:lang w:eastAsia="es-ES"/>
        </w:rPr>
        <w:fldChar w:fldCharType="end"/>
      </w:r>
      <w:r w:rsidR="004A0E19" w:rsidRPr="00E4209C">
        <w:rPr>
          <w:rFonts w:ascii="Arial" w:eastAsia="Times New Roman" w:hAnsi="Arial" w:cs="Arial"/>
          <w:b/>
          <w:color w:val="00B050"/>
          <w:sz w:val="24"/>
          <w:szCs w:val="24"/>
          <w:lang w:eastAsia="es-ES"/>
        </w:rPr>
        <w:t>,</w:t>
      </w:r>
      <w:r w:rsidR="004A0E19" w:rsidRPr="00253218">
        <w:rPr>
          <w:rFonts w:ascii="Arial" w:eastAsia="Times New Roman" w:hAnsi="Arial" w:cs="Arial"/>
          <w:b/>
          <w:sz w:val="24"/>
          <w:szCs w:val="24"/>
          <w:lang w:eastAsia="es-ES"/>
        </w:rPr>
        <w:t xml:space="preserve"> creó al hombre </w:t>
      </w:r>
      <w:proofErr w:type="spellStart"/>
      <w:r w:rsidR="004A0E19" w:rsidRPr="00253218">
        <w:rPr>
          <w:rFonts w:ascii="Arial" w:eastAsia="Times New Roman" w:hAnsi="Arial" w:cs="Arial"/>
          <w:b/>
          <w:sz w:val="24"/>
          <w:szCs w:val="24"/>
          <w:lang w:eastAsia="es-ES"/>
        </w:rPr>
        <w:t>semi</w:t>
      </w:r>
      <w:proofErr w:type="spellEnd"/>
      <w:r w:rsidR="004A0E19" w:rsidRPr="00253218">
        <w:rPr>
          <w:rFonts w:ascii="Arial" w:eastAsia="Times New Roman" w:hAnsi="Arial" w:cs="Arial"/>
          <w:b/>
          <w:sz w:val="24"/>
          <w:szCs w:val="24"/>
          <w:lang w:eastAsia="es-ES"/>
        </w:rPr>
        <w:t xml:space="preserve"> salvaje </w:t>
      </w:r>
      <w:proofErr w:type="spellStart"/>
      <w:r w:rsidR="00C415CA" w:rsidRPr="00253218">
        <w:rPr>
          <w:rFonts w:ascii="Arial" w:eastAsia="Times New Roman" w:hAnsi="Arial" w:cs="Arial"/>
          <w:b/>
          <w:sz w:val="24"/>
          <w:szCs w:val="24"/>
          <w:lang w:eastAsia="es-ES"/>
        </w:rPr>
        <w:fldChar w:fldCharType="begin"/>
      </w:r>
      <w:r w:rsidR="004A0E19" w:rsidRPr="00253218">
        <w:rPr>
          <w:rFonts w:ascii="Arial" w:eastAsia="Times New Roman" w:hAnsi="Arial" w:cs="Arial"/>
          <w:b/>
          <w:sz w:val="24"/>
          <w:szCs w:val="24"/>
          <w:lang w:eastAsia="es-ES"/>
        </w:rPr>
        <w:instrText xml:space="preserve"> HYPERLINK "https://es.wikipedia.org/wiki/Enkidu" \o "Enkidu" </w:instrText>
      </w:r>
      <w:r w:rsidR="00C415CA" w:rsidRPr="00253218">
        <w:rPr>
          <w:rFonts w:ascii="Arial" w:eastAsia="Times New Roman" w:hAnsi="Arial" w:cs="Arial"/>
          <w:b/>
          <w:sz w:val="24"/>
          <w:szCs w:val="24"/>
          <w:lang w:eastAsia="es-ES"/>
        </w:rPr>
        <w:fldChar w:fldCharType="separate"/>
      </w:r>
      <w:r w:rsidR="004A0E19" w:rsidRPr="00253218">
        <w:rPr>
          <w:rFonts w:ascii="Arial" w:eastAsia="Times New Roman" w:hAnsi="Arial" w:cs="Arial"/>
          <w:b/>
          <w:sz w:val="24"/>
          <w:szCs w:val="24"/>
          <w:lang w:eastAsia="es-ES"/>
        </w:rPr>
        <w:t>Enkidu</w:t>
      </w:r>
      <w:proofErr w:type="spellEnd"/>
      <w:r w:rsidR="00C415CA" w:rsidRPr="00253218">
        <w:rPr>
          <w:rFonts w:ascii="Arial" w:eastAsia="Times New Roman" w:hAnsi="Arial" w:cs="Arial"/>
          <w:b/>
          <w:sz w:val="24"/>
          <w:szCs w:val="24"/>
          <w:lang w:eastAsia="es-ES"/>
        </w:rPr>
        <w:fldChar w:fldCharType="end"/>
      </w:r>
      <w:r w:rsidR="004A0E19" w:rsidRPr="00253218">
        <w:rPr>
          <w:rFonts w:ascii="Arial" w:eastAsia="Times New Roman" w:hAnsi="Arial" w:cs="Arial"/>
          <w:b/>
          <w:sz w:val="24"/>
          <w:szCs w:val="24"/>
          <w:lang w:eastAsia="es-ES"/>
        </w:rPr>
        <w:t xml:space="preserve">, que comenzó a molestar a los pastores. Cuando uno de ellos se quejó ante </w:t>
      </w:r>
      <w:proofErr w:type="spellStart"/>
      <w:r w:rsidR="004A0E19" w:rsidRPr="00253218">
        <w:rPr>
          <w:rFonts w:ascii="Arial" w:eastAsia="Times New Roman" w:hAnsi="Arial" w:cs="Arial"/>
          <w:b/>
          <w:sz w:val="24"/>
          <w:szCs w:val="24"/>
          <w:lang w:eastAsia="es-ES"/>
        </w:rPr>
        <w:t>Gilgamesh</w:t>
      </w:r>
      <w:proofErr w:type="spellEnd"/>
      <w:r w:rsidR="004A0E19" w:rsidRPr="00253218">
        <w:rPr>
          <w:rFonts w:ascii="Arial" w:eastAsia="Times New Roman" w:hAnsi="Arial" w:cs="Arial"/>
          <w:b/>
          <w:sz w:val="24"/>
          <w:szCs w:val="24"/>
          <w:lang w:eastAsia="es-ES"/>
        </w:rPr>
        <w:t>, el rey le envió a la mujer llamada </w:t>
      </w:r>
      <w:proofErr w:type="spellStart"/>
      <w:r w:rsidR="00C415CA" w:rsidRPr="00E4209C">
        <w:rPr>
          <w:rFonts w:ascii="Arial" w:eastAsia="Times New Roman" w:hAnsi="Arial" w:cs="Arial"/>
          <w:b/>
          <w:color w:val="00B050"/>
          <w:sz w:val="24"/>
          <w:szCs w:val="24"/>
          <w:lang w:eastAsia="es-ES"/>
        </w:rPr>
        <w:fldChar w:fldCharType="begin"/>
      </w:r>
      <w:r w:rsidR="004A0E19" w:rsidRPr="00E4209C">
        <w:rPr>
          <w:rFonts w:ascii="Arial" w:eastAsia="Times New Roman" w:hAnsi="Arial" w:cs="Arial"/>
          <w:b/>
          <w:color w:val="00B050"/>
          <w:sz w:val="24"/>
          <w:szCs w:val="24"/>
          <w:lang w:eastAsia="es-ES"/>
        </w:rPr>
        <w:instrText xml:space="preserve"> HYPERLINK "https://es.wikipedia.org/wiki/Shamhat" \o "Shamhat" </w:instrText>
      </w:r>
      <w:r w:rsidR="00C415CA" w:rsidRPr="00E4209C">
        <w:rPr>
          <w:rFonts w:ascii="Arial" w:eastAsia="Times New Roman" w:hAnsi="Arial" w:cs="Arial"/>
          <w:b/>
          <w:color w:val="00B050"/>
          <w:sz w:val="24"/>
          <w:szCs w:val="24"/>
          <w:lang w:eastAsia="es-ES"/>
        </w:rPr>
        <w:fldChar w:fldCharType="separate"/>
      </w:r>
      <w:r w:rsidR="004A0E19" w:rsidRPr="00E4209C">
        <w:rPr>
          <w:rFonts w:ascii="Arial" w:eastAsia="Times New Roman" w:hAnsi="Arial" w:cs="Arial"/>
          <w:b/>
          <w:color w:val="00B050"/>
          <w:sz w:val="24"/>
          <w:szCs w:val="24"/>
          <w:lang w:eastAsia="es-ES"/>
        </w:rPr>
        <w:t>Shamhat</w:t>
      </w:r>
      <w:proofErr w:type="spellEnd"/>
      <w:r w:rsidR="00C415CA" w:rsidRPr="00E4209C">
        <w:rPr>
          <w:rFonts w:ascii="Arial" w:eastAsia="Times New Roman" w:hAnsi="Arial" w:cs="Arial"/>
          <w:b/>
          <w:color w:val="00B050"/>
          <w:sz w:val="24"/>
          <w:szCs w:val="24"/>
          <w:lang w:eastAsia="es-ES"/>
        </w:rPr>
        <w:fldChar w:fldCharType="end"/>
      </w:r>
      <w:r w:rsidR="004A0E19" w:rsidRPr="00253218">
        <w:rPr>
          <w:rFonts w:ascii="Arial" w:eastAsia="Times New Roman" w:hAnsi="Arial" w:cs="Arial"/>
          <w:b/>
          <w:sz w:val="24"/>
          <w:szCs w:val="24"/>
          <w:lang w:eastAsia="es-ES"/>
        </w:rPr>
        <w:t>, una prostituta sagrada (</w:t>
      </w:r>
      <w:proofErr w:type="spellStart"/>
      <w:r w:rsidR="00C415CA" w:rsidRPr="00253218">
        <w:rPr>
          <w:rFonts w:ascii="Arial" w:eastAsia="Times New Roman" w:hAnsi="Arial" w:cs="Arial"/>
          <w:b/>
          <w:sz w:val="24"/>
          <w:szCs w:val="24"/>
          <w:lang w:eastAsia="es-ES"/>
        </w:rPr>
        <w:fldChar w:fldCharType="begin"/>
      </w:r>
      <w:r w:rsidR="004A0E19" w:rsidRPr="00253218">
        <w:rPr>
          <w:rFonts w:ascii="Arial" w:eastAsia="Times New Roman" w:hAnsi="Arial" w:cs="Arial"/>
          <w:b/>
          <w:sz w:val="24"/>
          <w:szCs w:val="24"/>
          <w:lang w:eastAsia="es-ES"/>
        </w:rPr>
        <w:instrText xml:space="preserve"> HYPERLINK "https://es.wikipedia.org/wiki/Naditu" \o "Naditu" </w:instrText>
      </w:r>
      <w:r w:rsidR="00C415CA" w:rsidRPr="00253218">
        <w:rPr>
          <w:rFonts w:ascii="Arial" w:eastAsia="Times New Roman" w:hAnsi="Arial" w:cs="Arial"/>
          <w:b/>
          <w:sz w:val="24"/>
          <w:szCs w:val="24"/>
          <w:lang w:eastAsia="es-ES"/>
        </w:rPr>
        <w:fldChar w:fldCharType="separate"/>
      </w:r>
      <w:r w:rsidR="004A0E19" w:rsidRPr="00253218">
        <w:rPr>
          <w:rFonts w:ascii="Arial" w:eastAsia="Times New Roman" w:hAnsi="Arial" w:cs="Arial"/>
          <w:b/>
          <w:sz w:val="24"/>
          <w:szCs w:val="24"/>
          <w:lang w:eastAsia="es-ES"/>
        </w:rPr>
        <w:t>nadītu</w:t>
      </w:r>
      <w:proofErr w:type="spellEnd"/>
      <w:r w:rsidR="00C415CA" w:rsidRPr="00253218">
        <w:rPr>
          <w:rFonts w:ascii="Arial" w:eastAsia="Times New Roman" w:hAnsi="Arial" w:cs="Arial"/>
          <w:b/>
          <w:sz w:val="24"/>
          <w:szCs w:val="24"/>
          <w:lang w:eastAsia="es-ES"/>
        </w:rPr>
        <w:fldChar w:fldCharType="end"/>
      </w:r>
      <w:r w:rsidR="004A0E19" w:rsidRPr="00253218">
        <w:rPr>
          <w:rFonts w:ascii="Arial" w:eastAsia="Times New Roman" w:hAnsi="Arial" w:cs="Arial"/>
          <w:b/>
          <w:sz w:val="24"/>
          <w:szCs w:val="24"/>
          <w:lang w:eastAsia="es-ES"/>
        </w:rPr>
        <w:t> en </w:t>
      </w:r>
      <w:hyperlink r:id="rId29" w:tooltip="Sumeria" w:history="1">
        <w:r w:rsidR="004A0E19" w:rsidRPr="00253218">
          <w:rPr>
            <w:rFonts w:ascii="Arial" w:eastAsia="Times New Roman" w:hAnsi="Arial" w:cs="Arial"/>
            <w:b/>
            <w:sz w:val="24"/>
            <w:szCs w:val="24"/>
            <w:lang w:eastAsia="es-ES"/>
          </w:rPr>
          <w:t>Sumeria</w:t>
        </w:r>
      </w:hyperlink>
      <w:r w:rsidR="004A0E19" w:rsidRPr="00253218">
        <w:rPr>
          <w:rFonts w:ascii="Arial" w:eastAsia="Times New Roman" w:hAnsi="Arial" w:cs="Arial"/>
          <w:b/>
          <w:sz w:val="24"/>
          <w:szCs w:val="24"/>
          <w:lang w:eastAsia="es-ES"/>
        </w:rPr>
        <w:t> o </w:t>
      </w:r>
      <w:hyperlink r:id="rId30" w:tooltip="Hieródulo" w:history="1">
        <w:r w:rsidR="004A0E19" w:rsidRPr="00253218">
          <w:rPr>
            <w:rFonts w:ascii="Arial" w:eastAsia="Times New Roman" w:hAnsi="Arial" w:cs="Arial"/>
            <w:b/>
            <w:sz w:val="24"/>
            <w:szCs w:val="24"/>
            <w:lang w:eastAsia="es-ES"/>
          </w:rPr>
          <w:t>hieródula</w:t>
        </w:r>
      </w:hyperlink>
      <w:r w:rsidR="004A0E19" w:rsidRPr="00253218">
        <w:rPr>
          <w:rFonts w:ascii="Arial" w:eastAsia="Times New Roman" w:hAnsi="Arial" w:cs="Arial"/>
          <w:b/>
          <w:sz w:val="24"/>
          <w:szCs w:val="24"/>
          <w:lang w:eastAsia="es-ES"/>
        </w:rPr>
        <w:t xml:space="preserve"> en Grecia). El contacto con ella civiliza a </w:t>
      </w:r>
      <w:proofErr w:type="spellStart"/>
      <w:r w:rsidR="004A0E19" w:rsidRPr="00253218">
        <w:rPr>
          <w:rFonts w:ascii="Arial" w:eastAsia="Times New Roman" w:hAnsi="Arial" w:cs="Arial"/>
          <w:b/>
          <w:sz w:val="24"/>
          <w:szCs w:val="24"/>
          <w:lang w:eastAsia="es-ES"/>
        </w:rPr>
        <w:t>Enkidu</w:t>
      </w:r>
      <w:proofErr w:type="spellEnd"/>
      <w:r w:rsidR="004A0E19" w:rsidRPr="00253218">
        <w:rPr>
          <w:rFonts w:ascii="Arial" w:eastAsia="Times New Roman" w:hAnsi="Arial" w:cs="Arial"/>
          <w:b/>
          <w:sz w:val="24"/>
          <w:szCs w:val="24"/>
          <w:lang w:eastAsia="es-ES"/>
        </w:rPr>
        <w:t xml:space="preserve"> al grado de que tras varias noches, él ya no es una bestia más entre los animales. Mientras tanto, </w:t>
      </w:r>
      <w:proofErr w:type="spellStart"/>
      <w:r w:rsidR="004A0E19" w:rsidRPr="00253218">
        <w:rPr>
          <w:rFonts w:ascii="Arial" w:eastAsia="Times New Roman" w:hAnsi="Arial" w:cs="Arial"/>
          <w:b/>
          <w:sz w:val="24"/>
          <w:szCs w:val="24"/>
          <w:lang w:eastAsia="es-ES"/>
        </w:rPr>
        <w:t>Gilgamesh</w:t>
      </w:r>
      <w:proofErr w:type="spellEnd"/>
      <w:r w:rsidR="004A0E19" w:rsidRPr="00253218">
        <w:rPr>
          <w:rFonts w:ascii="Arial" w:eastAsia="Times New Roman" w:hAnsi="Arial" w:cs="Arial"/>
          <w:b/>
          <w:sz w:val="24"/>
          <w:szCs w:val="24"/>
          <w:lang w:eastAsia="es-ES"/>
        </w:rPr>
        <w:t xml:space="preserve"> tiene extraños sueños que su madre </w:t>
      </w:r>
      <w:proofErr w:type="spellStart"/>
      <w:r w:rsidR="00C415CA" w:rsidRPr="00253218">
        <w:rPr>
          <w:rFonts w:ascii="Arial" w:eastAsia="Times New Roman" w:hAnsi="Arial" w:cs="Arial"/>
          <w:b/>
          <w:sz w:val="24"/>
          <w:szCs w:val="24"/>
          <w:lang w:eastAsia="es-ES"/>
        </w:rPr>
        <w:fldChar w:fldCharType="begin"/>
      </w:r>
      <w:r w:rsidR="004A0E19" w:rsidRPr="00253218">
        <w:rPr>
          <w:rFonts w:ascii="Arial" w:eastAsia="Times New Roman" w:hAnsi="Arial" w:cs="Arial"/>
          <w:b/>
          <w:sz w:val="24"/>
          <w:szCs w:val="24"/>
          <w:lang w:eastAsia="es-ES"/>
        </w:rPr>
        <w:instrText xml:space="preserve"> HYPERLINK "https://es.wikipedia.org/wiki/Ninsun" \o "Ninsun" </w:instrText>
      </w:r>
      <w:r w:rsidR="00C415CA" w:rsidRPr="00253218">
        <w:rPr>
          <w:rFonts w:ascii="Arial" w:eastAsia="Times New Roman" w:hAnsi="Arial" w:cs="Arial"/>
          <w:b/>
          <w:sz w:val="24"/>
          <w:szCs w:val="24"/>
          <w:lang w:eastAsia="es-ES"/>
        </w:rPr>
        <w:fldChar w:fldCharType="separate"/>
      </w:r>
      <w:r w:rsidR="004A0E19" w:rsidRPr="00253218">
        <w:rPr>
          <w:rFonts w:ascii="Arial" w:eastAsia="Times New Roman" w:hAnsi="Arial" w:cs="Arial"/>
          <w:b/>
          <w:sz w:val="24"/>
          <w:szCs w:val="24"/>
          <w:lang w:eastAsia="es-ES"/>
        </w:rPr>
        <w:t>Ninsun</w:t>
      </w:r>
      <w:proofErr w:type="spellEnd"/>
      <w:r w:rsidR="00C415CA" w:rsidRPr="00253218">
        <w:rPr>
          <w:rFonts w:ascii="Arial" w:eastAsia="Times New Roman" w:hAnsi="Arial" w:cs="Arial"/>
          <w:b/>
          <w:sz w:val="24"/>
          <w:szCs w:val="24"/>
          <w:lang w:eastAsia="es-ES"/>
        </w:rPr>
        <w:fldChar w:fldCharType="end"/>
      </w:r>
      <w:r w:rsidR="004A0E19" w:rsidRPr="00253218">
        <w:rPr>
          <w:rFonts w:ascii="Arial" w:eastAsia="Times New Roman" w:hAnsi="Arial" w:cs="Arial"/>
          <w:b/>
          <w:sz w:val="24"/>
          <w:szCs w:val="24"/>
          <w:lang w:eastAsia="es-ES"/>
        </w:rPr>
        <w:t> le explica diciendo que vendrá a él un gran amigo.</w:t>
      </w:r>
    </w:p>
    <w:p w:rsidR="00D738D7" w:rsidRDefault="00D738D7" w:rsidP="00D738D7">
      <w:pPr>
        <w:spacing w:after="0" w:line="240" w:lineRule="auto"/>
        <w:ind w:left="-993" w:firstLine="142"/>
        <w:jc w:val="both"/>
        <w:rPr>
          <w:rFonts w:ascii="Arial" w:eastAsia="Times New Roman" w:hAnsi="Arial" w:cs="Arial"/>
          <w:b/>
          <w:sz w:val="24"/>
          <w:szCs w:val="24"/>
          <w:lang w:eastAsia="es-ES"/>
        </w:rPr>
      </w:pPr>
    </w:p>
    <w:p w:rsidR="00D738D7" w:rsidRDefault="004A0E19" w:rsidP="00D738D7">
      <w:pPr>
        <w:spacing w:after="0" w:line="240" w:lineRule="auto"/>
        <w:ind w:left="-993" w:firstLine="142"/>
        <w:jc w:val="both"/>
        <w:rPr>
          <w:rFonts w:ascii="Arial" w:eastAsia="Times New Roman" w:hAnsi="Arial" w:cs="Arial"/>
          <w:b/>
          <w:sz w:val="24"/>
          <w:szCs w:val="24"/>
          <w:lang w:eastAsia="es-ES"/>
        </w:rPr>
      </w:pP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y </w:t>
      </w:r>
      <w:proofErr w:type="spellStart"/>
      <w:r w:rsidRPr="00253218">
        <w:rPr>
          <w:rFonts w:ascii="Arial" w:eastAsia="Times New Roman" w:hAnsi="Arial" w:cs="Arial"/>
          <w:b/>
          <w:sz w:val="24"/>
          <w:szCs w:val="24"/>
          <w:lang w:eastAsia="es-ES"/>
        </w:rPr>
        <w:t>Shamhat</w:t>
      </w:r>
      <w:proofErr w:type="spellEnd"/>
      <w:r w:rsidRPr="00253218">
        <w:rPr>
          <w:rFonts w:ascii="Arial" w:eastAsia="Times New Roman" w:hAnsi="Arial" w:cs="Arial"/>
          <w:b/>
          <w:sz w:val="24"/>
          <w:szCs w:val="24"/>
          <w:lang w:eastAsia="es-ES"/>
        </w:rPr>
        <w:t xml:space="preserve"> salen del yermo para casarse en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"https://es.wikipedia.org/wiki/Uruk" \o "Uruk"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Uruk</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xml:space="preserve">. Cuando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acude al festejo para dormir con </w:t>
      </w:r>
      <w:proofErr w:type="spellStart"/>
      <w:r w:rsidRPr="00253218">
        <w:rPr>
          <w:rFonts w:ascii="Arial" w:eastAsia="Times New Roman" w:hAnsi="Arial" w:cs="Arial"/>
          <w:b/>
          <w:sz w:val="24"/>
          <w:szCs w:val="24"/>
          <w:lang w:eastAsia="es-ES"/>
        </w:rPr>
        <w:t>Shamhat</w:t>
      </w:r>
      <w:proofErr w:type="spellEnd"/>
      <w:r w:rsidRPr="00253218">
        <w:rPr>
          <w:rFonts w:ascii="Arial" w:eastAsia="Times New Roman" w:hAnsi="Arial" w:cs="Arial"/>
          <w:b/>
          <w:sz w:val="24"/>
          <w:szCs w:val="24"/>
          <w:lang w:eastAsia="es-ES"/>
        </w:rPr>
        <w:t xml:space="preserve">, encuentra sus intenciones frustradas por </w:t>
      </w: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Ellos luchan y, tras una gran batalla,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presenta a </w:t>
      </w: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a su madre y le hace parte de su familia</w:t>
      </w:r>
      <w:r w:rsidR="00D738D7">
        <w:rPr>
          <w:rFonts w:ascii="Arial" w:eastAsia="Times New Roman" w:hAnsi="Arial" w:cs="Arial"/>
          <w:b/>
          <w:sz w:val="24"/>
          <w:szCs w:val="24"/>
          <w:lang w:eastAsia="es-ES"/>
        </w:rPr>
        <w:t>,</w:t>
      </w:r>
      <w:r w:rsidRPr="00253218">
        <w:rPr>
          <w:rFonts w:ascii="Arial" w:eastAsia="Times New Roman" w:hAnsi="Arial" w:cs="Arial"/>
          <w:b/>
          <w:sz w:val="24"/>
          <w:szCs w:val="24"/>
          <w:lang w:eastAsia="es-ES"/>
        </w:rPr>
        <w:t xml:space="preserve"> porque él no tiene una propia. Entonces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le propone viajar al bosque para adquirir gloria cortando algunos grandes árboles y matando al demonio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"https://es.wikipedia.org/wiki/Humbaba" \o "Humbaba"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Humbaba</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xml:space="preserve">. </w:t>
      </w: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no está de acuerdo, pero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logra convencerlo.</w:t>
      </w:r>
    </w:p>
    <w:p w:rsidR="00D738D7" w:rsidRDefault="00D738D7" w:rsidP="00D738D7">
      <w:pPr>
        <w:spacing w:after="0" w:line="240" w:lineRule="auto"/>
        <w:ind w:left="-993" w:firstLine="142"/>
        <w:jc w:val="both"/>
        <w:rPr>
          <w:rFonts w:ascii="Arial" w:eastAsia="Times New Roman" w:hAnsi="Arial" w:cs="Arial"/>
          <w:b/>
          <w:sz w:val="24"/>
          <w:szCs w:val="24"/>
          <w:lang w:eastAsia="es-ES"/>
        </w:rPr>
      </w:pPr>
    </w:p>
    <w:p w:rsidR="00D738D7" w:rsidRDefault="004A0E19" w:rsidP="00D738D7">
      <w:pPr>
        <w:spacing w:after="0" w:line="240" w:lineRule="auto"/>
        <w:ind w:left="-993" w:firstLine="142"/>
        <w:jc w:val="both"/>
        <w:rPr>
          <w:rFonts w:ascii="Arial" w:eastAsia="Times New Roman" w:hAnsi="Arial" w:cs="Arial"/>
          <w:b/>
          <w:sz w:val="24"/>
          <w:szCs w:val="24"/>
          <w:lang w:eastAsia="es-ES"/>
        </w:rPr>
      </w:pP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y </w:t>
      </w: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se preparan para la aventura en el bosque. </w:t>
      </w: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informa a su madre, que se queja, pero pide ayuda al dios-sol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"https://es.wikipedia.org/wiki/Shamash" \o "Shamash"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Shamash</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xml:space="preserve"> y le da a </w:t>
      </w:r>
      <w:proofErr w:type="spellStart"/>
      <w:r w:rsidRPr="00253218">
        <w:rPr>
          <w:rFonts w:ascii="Arial" w:eastAsia="Times New Roman" w:hAnsi="Arial" w:cs="Arial"/>
          <w:b/>
          <w:sz w:val="24"/>
          <w:szCs w:val="24"/>
          <w:lang w:eastAsia="es-ES"/>
        </w:rPr>
        <w:t>Enkidu</w:t>
      </w:r>
      <w:proofErr w:type="spellEnd"/>
      <w:r w:rsidRPr="00253218">
        <w:rPr>
          <w:rFonts w:ascii="Arial" w:eastAsia="Times New Roman" w:hAnsi="Arial" w:cs="Arial"/>
          <w:b/>
          <w:sz w:val="24"/>
          <w:szCs w:val="24"/>
          <w:lang w:eastAsia="es-ES"/>
        </w:rPr>
        <w:t xml:space="preserve"> un consejo.</w:t>
      </w:r>
    </w:p>
    <w:p w:rsidR="00D738D7" w:rsidRDefault="00D738D7" w:rsidP="00D738D7">
      <w:pPr>
        <w:spacing w:after="0" w:line="240" w:lineRule="auto"/>
        <w:ind w:left="-993" w:firstLine="142"/>
        <w:jc w:val="both"/>
        <w:rPr>
          <w:rFonts w:ascii="Arial" w:eastAsia="Times New Roman" w:hAnsi="Arial" w:cs="Arial"/>
          <w:b/>
          <w:sz w:val="24"/>
          <w:szCs w:val="24"/>
          <w:lang w:eastAsia="es-ES"/>
        </w:rPr>
      </w:pPr>
    </w:p>
    <w:p w:rsidR="00D738D7" w:rsidRDefault="004A0E19" w:rsidP="00D738D7">
      <w:pPr>
        <w:spacing w:after="0" w:line="240" w:lineRule="auto"/>
        <w:ind w:left="-993" w:firstLine="142"/>
        <w:jc w:val="both"/>
        <w:rPr>
          <w:rFonts w:ascii="Arial" w:eastAsia="Times New Roman" w:hAnsi="Arial" w:cs="Arial"/>
          <w:b/>
          <w:sz w:val="24"/>
          <w:szCs w:val="24"/>
          <w:lang w:eastAsia="es-ES"/>
        </w:rPr>
      </w:pPr>
      <w:proofErr w:type="spellStart"/>
      <w:r w:rsidRPr="00253218">
        <w:rPr>
          <w:rFonts w:ascii="Arial" w:eastAsia="Times New Roman" w:hAnsi="Arial" w:cs="Arial"/>
          <w:b/>
          <w:sz w:val="24"/>
          <w:szCs w:val="24"/>
          <w:lang w:eastAsia="es-ES"/>
        </w:rPr>
        <w:t>Gilgamesh</w:t>
      </w:r>
      <w:proofErr w:type="spellEnd"/>
      <w:r w:rsidRPr="00253218">
        <w:rPr>
          <w:rFonts w:ascii="Arial" w:eastAsia="Times New Roman" w:hAnsi="Arial" w:cs="Arial"/>
          <w:b/>
          <w:sz w:val="24"/>
          <w:szCs w:val="24"/>
          <w:lang w:eastAsia="es-ES"/>
        </w:rPr>
        <w:t xml:space="preserve"> rechaza las insinuaciones sexuales de la diosa </w:t>
      </w:r>
      <w:proofErr w:type="spellStart"/>
      <w:r w:rsidR="00C415CA" w:rsidRPr="00E4209C">
        <w:rPr>
          <w:rFonts w:ascii="Arial" w:eastAsia="Times New Roman" w:hAnsi="Arial" w:cs="Arial"/>
          <w:b/>
          <w:color w:val="00B050"/>
          <w:sz w:val="24"/>
          <w:szCs w:val="24"/>
          <w:lang w:eastAsia="es-ES"/>
        </w:rPr>
        <w:fldChar w:fldCharType="begin"/>
      </w:r>
      <w:r w:rsidRPr="00E4209C">
        <w:rPr>
          <w:rFonts w:ascii="Arial" w:eastAsia="Times New Roman" w:hAnsi="Arial" w:cs="Arial"/>
          <w:b/>
          <w:color w:val="00B050"/>
          <w:sz w:val="24"/>
          <w:szCs w:val="24"/>
          <w:lang w:eastAsia="es-ES"/>
        </w:rPr>
        <w:instrText xml:space="preserve"> HYPERLINK "https://es.wikipedia.org/wiki/Ishtar" \o "Ishtar" </w:instrText>
      </w:r>
      <w:r w:rsidR="00C415CA" w:rsidRPr="00E4209C">
        <w:rPr>
          <w:rFonts w:ascii="Arial" w:eastAsia="Times New Roman" w:hAnsi="Arial" w:cs="Arial"/>
          <w:b/>
          <w:color w:val="00B050"/>
          <w:sz w:val="24"/>
          <w:szCs w:val="24"/>
          <w:lang w:eastAsia="es-ES"/>
        </w:rPr>
        <w:fldChar w:fldCharType="separate"/>
      </w:r>
      <w:r w:rsidRPr="00E4209C">
        <w:rPr>
          <w:rFonts w:ascii="Arial" w:eastAsia="Times New Roman" w:hAnsi="Arial" w:cs="Arial"/>
          <w:b/>
          <w:color w:val="00B050"/>
          <w:sz w:val="24"/>
          <w:szCs w:val="24"/>
          <w:lang w:eastAsia="es-ES"/>
        </w:rPr>
        <w:t>Ishtar</w:t>
      </w:r>
      <w:proofErr w:type="spellEnd"/>
      <w:r w:rsidR="00C415CA" w:rsidRPr="00E4209C">
        <w:rPr>
          <w:rFonts w:ascii="Arial" w:eastAsia="Times New Roman" w:hAnsi="Arial" w:cs="Arial"/>
          <w:b/>
          <w:color w:val="00B050"/>
          <w:sz w:val="24"/>
          <w:szCs w:val="24"/>
          <w:lang w:eastAsia="es-ES"/>
        </w:rPr>
        <w:fldChar w:fldCharType="end"/>
      </w:r>
      <w:r w:rsidRPr="00E4209C">
        <w:rPr>
          <w:rFonts w:ascii="Arial" w:eastAsia="Times New Roman" w:hAnsi="Arial" w:cs="Arial"/>
          <w:b/>
          <w:color w:val="00B050"/>
          <w:sz w:val="24"/>
          <w:szCs w:val="24"/>
          <w:lang w:eastAsia="es-ES"/>
        </w:rPr>
        <w:t> </w:t>
      </w:r>
      <w:r w:rsidRPr="00253218">
        <w:rPr>
          <w:rFonts w:ascii="Arial" w:eastAsia="Times New Roman" w:hAnsi="Arial" w:cs="Arial"/>
          <w:b/>
          <w:sz w:val="24"/>
          <w:szCs w:val="24"/>
          <w:lang w:eastAsia="es-ES"/>
        </w:rPr>
        <w:t>porque ella ha tenido antes otros amantes, como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"https://es.wikipedia.org/wiki/Dumuzi" \o "Dumuzi"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Dumuzi</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xml:space="preserve">. </w:t>
      </w:r>
      <w:proofErr w:type="spellStart"/>
      <w:r w:rsidRPr="00253218">
        <w:rPr>
          <w:rFonts w:ascii="Arial" w:eastAsia="Times New Roman" w:hAnsi="Arial" w:cs="Arial"/>
          <w:b/>
          <w:sz w:val="24"/>
          <w:szCs w:val="24"/>
          <w:lang w:eastAsia="es-ES"/>
        </w:rPr>
        <w:t>Ishtar</w:t>
      </w:r>
      <w:proofErr w:type="spellEnd"/>
      <w:r w:rsidRPr="00253218">
        <w:rPr>
          <w:rFonts w:ascii="Arial" w:eastAsia="Times New Roman" w:hAnsi="Arial" w:cs="Arial"/>
          <w:b/>
          <w:sz w:val="24"/>
          <w:szCs w:val="24"/>
          <w:lang w:eastAsia="es-ES"/>
        </w:rPr>
        <w:t xml:space="preserve"> le pide a su padre, </w:t>
      </w:r>
      <w:proofErr w:type="spellStart"/>
      <w:r w:rsidR="00C415CA" w:rsidRPr="00253218">
        <w:rPr>
          <w:rFonts w:ascii="Arial" w:eastAsia="Times New Roman" w:hAnsi="Arial" w:cs="Arial"/>
          <w:b/>
          <w:sz w:val="24"/>
          <w:szCs w:val="24"/>
          <w:lang w:eastAsia="es-ES"/>
        </w:rPr>
        <w:fldChar w:fldCharType="begin"/>
      </w:r>
      <w:r w:rsidRPr="00253218">
        <w:rPr>
          <w:rFonts w:ascii="Arial" w:eastAsia="Times New Roman" w:hAnsi="Arial" w:cs="Arial"/>
          <w:b/>
          <w:sz w:val="24"/>
          <w:szCs w:val="24"/>
          <w:lang w:eastAsia="es-ES"/>
        </w:rPr>
        <w:instrText xml:space="preserve"> HYPERLINK "https://es.wikipedia.org/wiki/Anu" \o "Anu" </w:instrText>
      </w:r>
      <w:r w:rsidR="00C415CA" w:rsidRPr="00253218">
        <w:rPr>
          <w:rFonts w:ascii="Arial" w:eastAsia="Times New Roman" w:hAnsi="Arial" w:cs="Arial"/>
          <w:b/>
          <w:sz w:val="24"/>
          <w:szCs w:val="24"/>
          <w:lang w:eastAsia="es-ES"/>
        </w:rPr>
        <w:fldChar w:fldCharType="separate"/>
      </w:r>
      <w:r w:rsidRPr="00253218">
        <w:rPr>
          <w:rFonts w:ascii="Arial" w:eastAsia="Times New Roman" w:hAnsi="Arial" w:cs="Arial"/>
          <w:b/>
          <w:sz w:val="24"/>
          <w:szCs w:val="24"/>
          <w:lang w:eastAsia="es-ES"/>
        </w:rPr>
        <w:t>Anu</w:t>
      </w:r>
      <w:proofErr w:type="spellEnd"/>
      <w:r w:rsidR="00C415CA" w:rsidRPr="00253218">
        <w:rPr>
          <w:rFonts w:ascii="Arial" w:eastAsia="Times New Roman" w:hAnsi="Arial" w:cs="Arial"/>
          <w:b/>
          <w:sz w:val="24"/>
          <w:szCs w:val="24"/>
          <w:lang w:eastAsia="es-ES"/>
        </w:rPr>
        <w:fldChar w:fldCharType="end"/>
      </w:r>
      <w:r w:rsidRPr="00253218">
        <w:rPr>
          <w:rFonts w:ascii="Arial" w:eastAsia="Times New Roman" w:hAnsi="Arial" w:cs="Arial"/>
          <w:b/>
          <w:sz w:val="24"/>
          <w:szCs w:val="24"/>
          <w:lang w:eastAsia="es-ES"/>
        </w:rPr>
        <w:t xml:space="preserve">, que le mande el "Toro del cielo" para vengar el rechazo. Cuando </w:t>
      </w:r>
      <w:proofErr w:type="spellStart"/>
      <w:r w:rsidRPr="00253218">
        <w:rPr>
          <w:rFonts w:ascii="Arial" w:eastAsia="Times New Roman" w:hAnsi="Arial" w:cs="Arial"/>
          <w:b/>
          <w:sz w:val="24"/>
          <w:szCs w:val="24"/>
          <w:lang w:eastAsia="es-ES"/>
        </w:rPr>
        <w:t>Anu</w:t>
      </w:r>
      <w:proofErr w:type="spellEnd"/>
      <w:r w:rsidRPr="00253218">
        <w:rPr>
          <w:rFonts w:ascii="Arial" w:eastAsia="Times New Roman" w:hAnsi="Arial" w:cs="Arial"/>
          <w:b/>
          <w:sz w:val="24"/>
          <w:szCs w:val="24"/>
          <w:lang w:eastAsia="es-ES"/>
        </w:rPr>
        <w:t xml:space="preserve"> rehúsa, </w:t>
      </w:r>
      <w:proofErr w:type="spellStart"/>
      <w:r w:rsidRPr="00253218">
        <w:rPr>
          <w:rFonts w:ascii="Arial" w:eastAsia="Times New Roman" w:hAnsi="Arial" w:cs="Arial"/>
          <w:b/>
          <w:sz w:val="24"/>
          <w:szCs w:val="24"/>
          <w:lang w:eastAsia="es-ES"/>
        </w:rPr>
        <w:t>Ishtar</w:t>
      </w:r>
      <w:proofErr w:type="spellEnd"/>
      <w:r w:rsidRPr="00253218">
        <w:rPr>
          <w:rFonts w:ascii="Arial" w:eastAsia="Times New Roman" w:hAnsi="Arial" w:cs="Arial"/>
          <w:b/>
          <w:sz w:val="24"/>
          <w:szCs w:val="24"/>
          <w:lang w:eastAsia="es-ES"/>
        </w:rPr>
        <w:t xml:space="preserve"> amenaza con levantar a los muertos. </w:t>
      </w:r>
      <w:proofErr w:type="spellStart"/>
      <w:r w:rsidRPr="00253218">
        <w:rPr>
          <w:rFonts w:ascii="Arial" w:eastAsia="Times New Roman" w:hAnsi="Arial" w:cs="Arial"/>
          <w:b/>
          <w:sz w:val="24"/>
          <w:szCs w:val="24"/>
          <w:lang w:eastAsia="es-ES"/>
        </w:rPr>
        <w:t>Anu</w:t>
      </w:r>
      <w:proofErr w:type="spellEnd"/>
      <w:r w:rsidRPr="00253218">
        <w:rPr>
          <w:rFonts w:ascii="Arial" w:eastAsia="Times New Roman" w:hAnsi="Arial" w:cs="Arial"/>
          <w:b/>
          <w:sz w:val="24"/>
          <w:szCs w:val="24"/>
          <w:lang w:eastAsia="es-ES"/>
        </w:rPr>
        <w:t xml:space="preserve"> teme y cede. El toro del cielo es una plaga para las tierras. Aparentemente la criatura tiene alguna relación con la sequía, porque de acuerdo con la historia el agua desaparece y la vegetación se seca. </w:t>
      </w:r>
    </w:p>
    <w:p w:rsidR="00D738D7" w:rsidRDefault="00D738D7" w:rsidP="00D738D7">
      <w:pPr>
        <w:spacing w:after="0" w:line="240" w:lineRule="auto"/>
        <w:ind w:left="-993" w:firstLine="142"/>
        <w:jc w:val="both"/>
        <w:rPr>
          <w:rFonts w:ascii="Arial" w:eastAsia="Times New Roman" w:hAnsi="Arial" w:cs="Arial"/>
          <w:b/>
          <w:sz w:val="24"/>
          <w:szCs w:val="24"/>
          <w:lang w:eastAsia="es-ES"/>
        </w:rPr>
      </w:pPr>
    </w:p>
    <w:p w:rsidR="004A0E19" w:rsidRDefault="00D738D7" w:rsidP="00D738D7">
      <w:pPr>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A0E19" w:rsidRPr="00253218">
        <w:rPr>
          <w:rFonts w:ascii="Arial" w:eastAsia="Times New Roman" w:hAnsi="Arial" w:cs="Arial"/>
          <w:b/>
          <w:sz w:val="24"/>
          <w:szCs w:val="24"/>
          <w:lang w:eastAsia="es-ES"/>
        </w:rPr>
        <w:t xml:space="preserve">Como quiera que sea, </w:t>
      </w:r>
      <w:proofErr w:type="spellStart"/>
      <w:r w:rsidR="004A0E19" w:rsidRPr="00253218">
        <w:rPr>
          <w:rFonts w:ascii="Arial" w:eastAsia="Times New Roman" w:hAnsi="Arial" w:cs="Arial"/>
          <w:b/>
          <w:sz w:val="24"/>
          <w:szCs w:val="24"/>
          <w:lang w:eastAsia="es-ES"/>
        </w:rPr>
        <w:t>Gilgamesh</w:t>
      </w:r>
      <w:proofErr w:type="spellEnd"/>
      <w:r w:rsidR="004A0E19" w:rsidRPr="00253218">
        <w:rPr>
          <w:rFonts w:ascii="Arial" w:eastAsia="Times New Roman" w:hAnsi="Arial" w:cs="Arial"/>
          <w:b/>
          <w:sz w:val="24"/>
          <w:szCs w:val="24"/>
          <w:lang w:eastAsia="es-ES"/>
        </w:rPr>
        <w:t xml:space="preserve"> y </w:t>
      </w:r>
      <w:proofErr w:type="spellStart"/>
      <w:r w:rsidR="004A0E19" w:rsidRPr="00253218">
        <w:rPr>
          <w:rFonts w:ascii="Arial" w:eastAsia="Times New Roman" w:hAnsi="Arial" w:cs="Arial"/>
          <w:b/>
          <w:sz w:val="24"/>
          <w:szCs w:val="24"/>
          <w:lang w:eastAsia="es-ES"/>
        </w:rPr>
        <w:t>Enkidu</w:t>
      </w:r>
      <w:proofErr w:type="spellEnd"/>
      <w:r w:rsidR="004A0E19" w:rsidRPr="00253218">
        <w:rPr>
          <w:rFonts w:ascii="Arial" w:eastAsia="Times New Roman" w:hAnsi="Arial" w:cs="Arial"/>
          <w:b/>
          <w:sz w:val="24"/>
          <w:szCs w:val="24"/>
          <w:lang w:eastAsia="es-ES"/>
        </w:rPr>
        <w:t xml:space="preserve">, esta vez sin ayuda divina, derrotan a la bestia y le ofrecen su corazón a </w:t>
      </w:r>
      <w:proofErr w:type="spellStart"/>
      <w:r w:rsidR="004A0E19" w:rsidRPr="00253218">
        <w:rPr>
          <w:rFonts w:ascii="Arial" w:eastAsia="Times New Roman" w:hAnsi="Arial" w:cs="Arial"/>
          <w:b/>
          <w:sz w:val="24"/>
          <w:szCs w:val="24"/>
          <w:lang w:eastAsia="es-ES"/>
        </w:rPr>
        <w:t>Shamash</w:t>
      </w:r>
      <w:proofErr w:type="spellEnd"/>
      <w:r w:rsidR="004A0E19" w:rsidRPr="00253218">
        <w:rPr>
          <w:rFonts w:ascii="Arial" w:eastAsia="Times New Roman" w:hAnsi="Arial" w:cs="Arial"/>
          <w:b/>
          <w:sz w:val="24"/>
          <w:szCs w:val="24"/>
          <w:lang w:eastAsia="es-ES"/>
        </w:rPr>
        <w:t xml:space="preserve">. Cuando oyen a </w:t>
      </w:r>
      <w:proofErr w:type="spellStart"/>
      <w:r w:rsidR="004A0E19" w:rsidRPr="00253218">
        <w:rPr>
          <w:rFonts w:ascii="Arial" w:eastAsia="Times New Roman" w:hAnsi="Arial" w:cs="Arial"/>
          <w:b/>
          <w:sz w:val="24"/>
          <w:szCs w:val="24"/>
          <w:lang w:eastAsia="es-ES"/>
        </w:rPr>
        <w:t>Ishtar</w:t>
      </w:r>
      <w:proofErr w:type="spellEnd"/>
      <w:r w:rsidR="004A0E19" w:rsidRPr="00253218">
        <w:rPr>
          <w:rFonts w:ascii="Arial" w:eastAsia="Times New Roman" w:hAnsi="Arial" w:cs="Arial"/>
          <w:b/>
          <w:sz w:val="24"/>
          <w:szCs w:val="24"/>
          <w:lang w:eastAsia="es-ES"/>
        </w:rPr>
        <w:t xml:space="preserve"> llorar, </w:t>
      </w:r>
      <w:proofErr w:type="spellStart"/>
      <w:r w:rsidR="004A0E19" w:rsidRPr="00253218">
        <w:rPr>
          <w:rFonts w:ascii="Arial" w:eastAsia="Times New Roman" w:hAnsi="Arial" w:cs="Arial"/>
          <w:b/>
          <w:sz w:val="24"/>
          <w:szCs w:val="24"/>
          <w:lang w:eastAsia="es-ES"/>
        </w:rPr>
        <w:t>Enkidu</w:t>
      </w:r>
      <w:proofErr w:type="spellEnd"/>
      <w:r w:rsidR="004A0E19" w:rsidRPr="00253218">
        <w:rPr>
          <w:rFonts w:ascii="Arial" w:eastAsia="Times New Roman" w:hAnsi="Arial" w:cs="Arial"/>
          <w:b/>
          <w:sz w:val="24"/>
          <w:szCs w:val="24"/>
          <w:lang w:eastAsia="es-ES"/>
        </w:rPr>
        <w:t xml:space="preserve"> separa el cuarto trasero del toro y se lo arroja al rostro para amedrentarla. La ciudad de </w:t>
      </w:r>
      <w:proofErr w:type="spellStart"/>
      <w:r w:rsidR="004A0E19" w:rsidRPr="00253218">
        <w:rPr>
          <w:rFonts w:ascii="Arial" w:eastAsia="Times New Roman" w:hAnsi="Arial" w:cs="Arial"/>
          <w:b/>
          <w:sz w:val="24"/>
          <w:szCs w:val="24"/>
          <w:lang w:eastAsia="es-ES"/>
        </w:rPr>
        <w:t>Uruk</w:t>
      </w:r>
      <w:proofErr w:type="spellEnd"/>
      <w:r w:rsidR="004A0E19" w:rsidRPr="00253218">
        <w:rPr>
          <w:rFonts w:ascii="Arial" w:eastAsia="Times New Roman" w:hAnsi="Arial" w:cs="Arial"/>
          <w:b/>
          <w:sz w:val="24"/>
          <w:szCs w:val="24"/>
          <w:lang w:eastAsia="es-ES"/>
        </w:rPr>
        <w:t xml:space="preserve"> celebra, pero </w:t>
      </w:r>
      <w:proofErr w:type="spellStart"/>
      <w:r w:rsidR="004A0E19" w:rsidRPr="00253218">
        <w:rPr>
          <w:rFonts w:ascii="Arial" w:eastAsia="Times New Roman" w:hAnsi="Arial" w:cs="Arial"/>
          <w:b/>
          <w:sz w:val="24"/>
          <w:szCs w:val="24"/>
          <w:lang w:eastAsia="es-ES"/>
        </w:rPr>
        <w:t>Enkidu</w:t>
      </w:r>
      <w:proofErr w:type="spellEnd"/>
      <w:r w:rsidR="004A0E19" w:rsidRPr="00253218">
        <w:rPr>
          <w:rFonts w:ascii="Arial" w:eastAsia="Times New Roman" w:hAnsi="Arial" w:cs="Arial"/>
          <w:b/>
          <w:sz w:val="24"/>
          <w:szCs w:val="24"/>
          <w:lang w:eastAsia="es-ES"/>
        </w:rPr>
        <w:t xml:space="preserve"> tiene una pesadilla, que se describe en la tablilla siguiente.</w:t>
      </w:r>
    </w:p>
    <w:p w:rsidR="00D738D7" w:rsidRPr="00253218" w:rsidRDefault="00D738D7" w:rsidP="00D738D7">
      <w:pPr>
        <w:spacing w:after="0" w:line="240" w:lineRule="auto"/>
        <w:ind w:left="-993" w:firstLine="142"/>
        <w:jc w:val="both"/>
        <w:rPr>
          <w:rFonts w:ascii="Arial" w:eastAsia="Times New Roman" w:hAnsi="Arial" w:cs="Arial"/>
          <w:b/>
          <w:sz w:val="24"/>
          <w:szCs w:val="24"/>
          <w:lang w:eastAsia="es-ES"/>
        </w:rPr>
      </w:pPr>
    </w:p>
    <w:p w:rsidR="004A0E19" w:rsidRPr="00253218" w:rsidRDefault="004A0E19" w:rsidP="00D738D7">
      <w:pPr>
        <w:ind w:left="-993" w:firstLine="142"/>
        <w:jc w:val="center"/>
        <w:rPr>
          <w:rFonts w:ascii="Arial" w:hAnsi="Arial" w:cs="Arial"/>
          <w:b/>
          <w:sz w:val="24"/>
          <w:szCs w:val="24"/>
        </w:rPr>
      </w:pPr>
      <w:r w:rsidRPr="00253218">
        <w:rPr>
          <w:rFonts w:ascii="Arial" w:hAnsi="Arial" w:cs="Arial"/>
          <w:b/>
          <w:sz w:val="24"/>
          <w:szCs w:val="24"/>
        </w:rPr>
        <w:t>https://es.wikipedia.org/wiki/Poema_de_Gilgamesh</w:t>
      </w:r>
    </w:p>
    <w:sectPr w:rsidR="004A0E19" w:rsidRPr="00253218" w:rsidSect="00253218">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E63"/>
    <w:multiLevelType w:val="multilevel"/>
    <w:tmpl w:val="CEA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D6D77"/>
    <w:multiLevelType w:val="multilevel"/>
    <w:tmpl w:val="558A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421204"/>
    <w:multiLevelType w:val="multilevel"/>
    <w:tmpl w:val="9690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9C0973"/>
    <w:multiLevelType w:val="multilevel"/>
    <w:tmpl w:val="1DE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0E19"/>
    <w:rsid w:val="001D2FD9"/>
    <w:rsid w:val="0020421B"/>
    <w:rsid w:val="00253218"/>
    <w:rsid w:val="004A0E19"/>
    <w:rsid w:val="004F197A"/>
    <w:rsid w:val="008130BA"/>
    <w:rsid w:val="00BF4E73"/>
    <w:rsid w:val="00C415CA"/>
    <w:rsid w:val="00D738D7"/>
    <w:rsid w:val="00E4209C"/>
    <w:rsid w:val="00E87C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F5"/>
  </w:style>
  <w:style w:type="paragraph" w:styleId="Ttulo2">
    <w:name w:val="heading 2"/>
    <w:basedOn w:val="Normal"/>
    <w:link w:val="Ttulo2Car"/>
    <w:uiPriority w:val="9"/>
    <w:qFormat/>
    <w:rsid w:val="004A0E1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0E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A0E19"/>
    <w:rPr>
      <w:b/>
      <w:bCs/>
    </w:rPr>
  </w:style>
  <w:style w:type="character" w:styleId="nfasis">
    <w:name w:val="Emphasis"/>
    <w:basedOn w:val="Fuentedeprrafopredeter"/>
    <w:uiPriority w:val="20"/>
    <w:qFormat/>
    <w:rsid w:val="004A0E19"/>
    <w:rPr>
      <w:i/>
      <w:iCs/>
    </w:rPr>
  </w:style>
  <w:style w:type="character" w:styleId="Hipervnculo">
    <w:name w:val="Hyperlink"/>
    <w:basedOn w:val="Fuentedeprrafopredeter"/>
    <w:uiPriority w:val="99"/>
    <w:semiHidden/>
    <w:unhideWhenUsed/>
    <w:rsid w:val="004A0E19"/>
    <w:rPr>
      <w:color w:val="0000FF"/>
      <w:u w:val="single"/>
    </w:rPr>
  </w:style>
  <w:style w:type="character" w:customStyle="1" w:styleId="Ttulo2Car">
    <w:name w:val="Título 2 Car"/>
    <w:basedOn w:val="Fuentedeprrafopredeter"/>
    <w:link w:val="Ttulo2"/>
    <w:uiPriority w:val="9"/>
    <w:rsid w:val="004A0E19"/>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4A0E19"/>
  </w:style>
  <w:style w:type="character" w:customStyle="1" w:styleId="mw-editsection">
    <w:name w:val="mw-editsection"/>
    <w:basedOn w:val="Fuentedeprrafopredeter"/>
    <w:rsid w:val="004A0E19"/>
  </w:style>
  <w:style w:type="character" w:customStyle="1" w:styleId="mw-editsection-bracket">
    <w:name w:val="mw-editsection-bracket"/>
    <w:basedOn w:val="Fuentedeprrafopredeter"/>
    <w:rsid w:val="004A0E19"/>
  </w:style>
</w:styles>
</file>

<file path=word/webSettings.xml><?xml version="1.0" encoding="utf-8"?>
<w:webSettings xmlns:r="http://schemas.openxmlformats.org/officeDocument/2006/relationships" xmlns:w="http://schemas.openxmlformats.org/wordprocessingml/2006/main">
  <w:divs>
    <w:div w:id="399406144">
      <w:bodyDiv w:val="1"/>
      <w:marLeft w:val="0"/>
      <w:marRight w:val="0"/>
      <w:marTop w:val="0"/>
      <w:marBottom w:val="0"/>
      <w:divBdr>
        <w:top w:val="none" w:sz="0" w:space="0" w:color="auto"/>
        <w:left w:val="none" w:sz="0" w:space="0" w:color="auto"/>
        <w:bottom w:val="none" w:sz="0" w:space="0" w:color="auto"/>
        <w:right w:val="none" w:sz="0" w:space="0" w:color="auto"/>
      </w:divBdr>
      <w:divsChild>
        <w:div w:id="836922403">
          <w:marLeft w:val="336"/>
          <w:marRight w:val="0"/>
          <w:marTop w:val="120"/>
          <w:marBottom w:val="312"/>
          <w:divBdr>
            <w:top w:val="none" w:sz="0" w:space="0" w:color="auto"/>
            <w:left w:val="none" w:sz="0" w:space="0" w:color="auto"/>
            <w:bottom w:val="none" w:sz="0" w:space="0" w:color="auto"/>
            <w:right w:val="none" w:sz="0" w:space="0" w:color="auto"/>
          </w:divBdr>
          <w:divsChild>
            <w:div w:id="16337070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39641356">
      <w:bodyDiv w:val="1"/>
      <w:marLeft w:val="0"/>
      <w:marRight w:val="0"/>
      <w:marTop w:val="0"/>
      <w:marBottom w:val="0"/>
      <w:divBdr>
        <w:top w:val="none" w:sz="0" w:space="0" w:color="auto"/>
        <w:left w:val="none" w:sz="0" w:space="0" w:color="auto"/>
        <w:bottom w:val="none" w:sz="0" w:space="0" w:color="auto"/>
        <w:right w:val="none" w:sz="0" w:space="0" w:color="auto"/>
      </w:divBdr>
    </w:div>
    <w:div w:id="1066337816">
      <w:bodyDiv w:val="1"/>
      <w:marLeft w:val="0"/>
      <w:marRight w:val="0"/>
      <w:marTop w:val="0"/>
      <w:marBottom w:val="0"/>
      <w:divBdr>
        <w:top w:val="none" w:sz="0" w:space="0" w:color="auto"/>
        <w:left w:val="none" w:sz="0" w:space="0" w:color="auto"/>
        <w:bottom w:val="none" w:sz="0" w:space="0" w:color="auto"/>
        <w:right w:val="none" w:sz="0" w:space="0" w:color="auto"/>
      </w:divBdr>
    </w:div>
    <w:div w:id="1744718355">
      <w:bodyDiv w:val="1"/>
      <w:marLeft w:val="0"/>
      <w:marRight w:val="0"/>
      <w:marTop w:val="0"/>
      <w:marBottom w:val="0"/>
      <w:divBdr>
        <w:top w:val="none" w:sz="0" w:space="0" w:color="auto"/>
        <w:left w:val="none" w:sz="0" w:space="0" w:color="auto"/>
        <w:bottom w:val="none" w:sz="0" w:space="0" w:color="auto"/>
        <w:right w:val="none" w:sz="0" w:space="0" w:color="auto"/>
      </w:divBdr>
    </w:div>
    <w:div w:id="17522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tolog%C3%ADa_sumeria" TargetMode="External"/><Relationship Id="rId13" Type="http://schemas.openxmlformats.org/officeDocument/2006/relationships/hyperlink" Target="https://es.wikipedia.org/wiki/Diluvio_universal" TargetMode="External"/><Relationship Id="rId18" Type="http://schemas.openxmlformats.org/officeDocument/2006/relationships/hyperlink" Target="https://es.wikipedia.org/wiki/Mosul" TargetMode="External"/><Relationship Id="rId26" Type="http://schemas.openxmlformats.org/officeDocument/2006/relationships/hyperlink" Target="https://es.wikipedia.org/wiki/II_milenio_a._C." TargetMode="External"/><Relationship Id="rId3" Type="http://schemas.openxmlformats.org/officeDocument/2006/relationships/settings" Target="settings.xml"/><Relationship Id="rId21" Type="http://schemas.openxmlformats.org/officeDocument/2006/relationships/hyperlink" Target="https://es.wikipedia.org/wiki/George_Smith_(asiri%C3%B3logo)" TargetMode="External"/><Relationship Id="rId7" Type="http://schemas.openxmlformats.org/officeDocument/2006/relationships/hyperlink" Target="https://es.wikipedia.org/wiki/Literatura_sumeria" TargetMode="External"/><Relationship Id="rId12" Type="http://schemas.openxmlformats.org/officeDocument/2006/relationships/hyperlink" Target="https://es.wikipedia.org/wiki/Inmortalidad" TargetMode="External"/><Relationship Id="rId17" Type="http://schemas.openxmlformats.org/officeDocument/2006/relationships/hyperlink" Target="https://es.wikipedia.org/wiki/1845" TargetMode="External"/><Relationship Id="rId25" Type="http://schemas.openxmlformats.org/officeDocument/2006/relationships/hyperlink" Target="https://es.wikipedia.org/wiki/2500_a._C." TargetMode="External"/><Relationship Id="rId2" Type="http://schemas.openxmlformats.org/officeDocument/2006/relationships/styles" Target="styles.xml"/><Relationship Id="rId16" Type="http://schemas.openxmlformats.org/officeDocument/2006/relationships/hyperlink" Target="https://es.wikipedia.org/wiki/612_a._C." TargetMode="External"/><Relationship Id="rId20" Type="http://schemas.openxmlformats.org/officeDocument/2006/relationships/hyperlink" Target="https://es.wikipedia.org/wiki/Museo_Brit%C3%A1nico" TargetMode="External"/><Relationship Id="rId29" Type="http://schemas.openxmlformats.org/officeDocument/2006/relationships/hyperlink" Target="https://es.wikipedia.org/wiki/Sumeria" TargetMode="External"/><Relationship Id="rId1" Type="http://schemas.openxmlformats.org/officeDocument/2006/relationships/numbering" Target="numbering.xml"/><Relationship Id="rId6" Type="http://schemas.openxmlformats.org/officeDocument/2006/relationships/hyperlink" Target="https://es.wikipedia.org/wiki/Transcripci%C3%B3n_(ling%C3%BC%C3%ADstica)" TargetMode="External"/><Relationship Id="rId11" Type="http://schemas.openxmlformats.org/officeDocument/2006/relationships/hyperlink" Target="https://es.wikipedia.org/wiki/Literatura" TargetMode="External"/><Relationship Id="rId24" Type="http://schemas.openxmlformats.org/officeDocument/2006/relationships/hyperlink" Target="https://es.wikipedia.org/wiki/John_Gardner" TargetMode="External"/><Relationship Id="rId32" Type="http://schemas.openxmlformats.org/officeDocument/2006/relationships/theme" Target="theme/theme1.xml"/><Relationship Id="rId5" Type="http://schemas.openxmlformats.org/officeDocument/2006/relationships/hyperlink" Target="https://es.wikipedia.org/wiki/Literatura_asirio-babil%C3%B3nica" TargetMode="External"/><Relationship Id="rId15" Type="http://schemas.openxmlformats.org/officeDocument/2006/relationships/hyperlink" Target="https://es.wikipedia.org/wiki/N%C3%ADnive" TargetMode="External"/><Relationship Id="rId23" Type="http://schemas.openxmlformats.org/officeDocument/2006/relationships/hyperlink" Target="https://es.wikipedia.org/wiki/1984" TargetMode="External"/><Relationship Id="rId28" Type="http://schemas.openxmlformats.org/officeDocument/2006/relationships/hyperlink" Target="https://es.wikipedia.org/wiki/Derecho_de_pernada" TargetMode="External"/><Relationship Id="rId10" Type="http://schemas.openxmlformats.org/officeDocument/2006/relationships/hyperlink" Target="https://es.wikipedia.org/wiki/Diluvio_universal" TargetMode="External"/><Relationship Id="rId19" Type="http://schemas.openxmlformats.org/officeDocument/2006/relationships/hyperlink" Target="https://es.wikipedia.org/wiki/Ira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Gigante_(mitolog%C3%ADa)" TargetMode="External"/><Relationship Id="rId14" Type="http://schemas.openxmlformats.org/officeDocument/2006/relationships/hyperlink" Target="https://es.wikipedia.org/wiki/Asurbanipal" TargetMode="External"/><Relationship Id="rId22" Type="http://schemas.openxmlformats.org/officeDocument/2006/relationships/hyperlink" Target="https://es.wikipedia.org/wiki/1872" TargetMode="External"/><Relationship Id="rId27" Type="http://schemas.openxmlformats.org/officeDocument/2006/relationships/hyperlink" Target="https://es.wikipedia.org/wiki/I_milenio_a._C." TargetMode="External"/><Relationship Id="rId30" Type="http://schemas.openxmlformats.org/officeDocument/2006/relationships/hyperlink" Target="https://es.wikipedia.org/wiki/Hier%C3%B3du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2165</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2020-12-24T08:24:00Z</dcterms:created>
  <dcterms:modified xsi:type="dcterms:W3CDTF">2021-03-03T18:20:00Z</dcterms:modified>
</cp:coreProperties>
</file>