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6D" w:rsidRPr="00F17E2E" w:rsidRDefault="007667EE" w:rsidP="00F17E2E">
      <w:pPr>
        <w:jc w:val="center"/>
        <w:rPr>
          <w:b/>
        </w:rPr>
      </w:pPr>
      <w:r w:rsidRPr="00F17E2E">
        <w:rPr>
          <w:b/>
          <w:color w:val="FF0000"/>
          <w:sz w:val="36"/>
          <w:szCs w:val="36"/>
        </w:rPr>
        <w:t xml:space="preserve">Karl </w:t>
      </w:r>
      <w:proofErr w:type="spellStart"/>
      <w:r w:rsidRPr="00F17E2E">
        <w:rPr>
          <w:b/>
          <w:color w:val="FF0000"/>
          <w:sz w:val="36"/>
          <w:szCs w:val="36"/>
        </w:rPr>
        <w:t>Rahner</w:t>
      </w:r>
      <w:proofErr w:type="spellEnd"/>
      <w:r w:rsidRPr="00F17E2E">
        <w:rPr>
          <w:b/>
          <w:color w:val="FF0000"/>
          <w:sz w:val="36"/>
          <w:szCs w:val="36"/>
        </w:rPr>
        <w:t xml:space="preserve"> </w:t>
      </w:r>
      <w:r w:rsidR="00DA0223">
        <w:rPr>
          <w:b/>
          <w:color w:val="FF0000"/>
          <w:sz w:val="36"/>
          <w:szCs w:val="36"/>
        </w:rPr>
        <w:t xml:space="preserve">  * </w:t>
      </w:r>
      <w:r w:rsidRPr="00F17E2E">
        <w:rPr>
          <w:b/>
          <w:color w:val="FF0000"/>
          <w:sz w:val="36"/>
          <w:szCs w:val="36"/>
        </w:rPr>
        <w:t>1904-1984</w:t>
      </w:r>
    </w:p>
    <w:p w:rsidR="007667EE" w:rsidRDefault="007667EE" w:rsidP="007667EE"/>
    <w:p w:rsidR="007667EE" w:rsidRDefault="007667EE" w:rsidP="00F17E2E">
      <w:pPr>
        <w:jc w:val="center"/>
      </w:pPr>
      <w:r>
        <w:rPr>
          <w:noProof/>
        </w:rPr>
        <w:drawing>
          <wp:inline distT="0" distB="0" distL="0" distR="0">
            <wp:extent cx="1615281" cy="2114550"/>
            <wp:effectExtent l="19050" t="0" r="3969" b="0"/>
            <wp:docPr id="2" name="Imagen 2" descr="Karl Rahner 19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l Rahner 197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81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7EE" w:rsidRDefault="007667EE" w:rsidP="007667EE"/>
    <w:p w:rsidR="00F17E2E" w:rsidRPr="00F17E2E" w:rsidRDefault="00F17E2E" w:rsidP="00F17E2E">
      <w:pPr>
        <w:ind w:right="-567"/>
        <w:jc w:val="both"/>
        <w:rPr>
          <w:b/>
          <w:bCs/>
          <w:color w:val="FF0000"/>
        </w:rPr>
      </w:pPr>
      <w:r>
        <w:rPr>
          <w:b/>
          <w:bCs/>
        </w:rPr>
        <w:t xml:space="preserve">  </w:t>
      </w:r>
      <w:r w:rsidR="00DA0223">
        <w:rPr>
          <w:b/>
          <w:bCs/>
        </w:rPr>
        <w:t xml:space="preserve">  </w:t>
      </w:r>
      <w:r w:rsidRPr="00F17E2E">
        <w:rPr>
          <w:b/>
          <w:bCs/>
          <w:color w:val="FF0000"/>
        </w:rPr>
        <w:t>Fe un teológico amante de la Iglesia y profundamente constructivo con sus aportaci</w:t>
      </w:r>
      <w:r w:rsidRPr="00F17E2E">
        <w:rPr>
          <w:b/>
          <w:bCs/>
          <w:color w:val="FF0000"/>
        </w:rPr>
        <w:t>o</w:t>
      </w:r>
      <w:r w:rsidRPr="00F17E2E">
        <w:rPr>
          <w:b/>
          <w:bCs/>
          <w:color w:val="FF0000"/>
        </w:rPr>
        <w:t xml:space="preserve">nes y su sentido de </w:t>
      </w:r>
      <w:r w:rsidR="00B84513">
        <w:rPr>
          <w:b/>
          <w:bCs/>
          <w:color w:val="FF0000"/>
        </w:rPr>
        <w:t>Comunidad viva</w:t>
      </w:r>
      <w:r w:rsidRPr="00F17E2E">
        <w:rPr>
          <w:b/>
          <w:bCs/>
          <w:color w:val="FF0000"/>
        </w:rPr>
        <w:t xml:space="preserve"> de Jesús. Sus obras fuer</w:t>
      </w:r>
      <w:r w:rsidR="00B84513">
        <w:rPr>
          <w:b/>
          <w:bCs/>
          <w:color w:val="FF0000"/>
        </w:rPr>
        <w:t>on leí</w:t>
      </w:r>
      <w:r w:rsidRPr="00F17E2E">
        <w:rPr>
          <w:b/>
          <w:bCs/>
          <w:color w:val="FF0000"/>
        </w:rPr>
        <w:t>das con elevado i</w:t>
      </w:r>
      <w:r w:rsidRPr="00F17E2E">
        <w:rPr>
          <w:b/>
          <w:bCs/>
          <w:color w:val="FF0000"/>
        </w:rPr>
        <w:t>n</w:t>
      </w:r>
      <w:r w:rsidRPr="00F17E2E">
        <w:rPr>
          <w:b/>
          <w:bCs/>
          <w:color w:val="FF0000"/>
        </w:rPr>
        <w:t>terés por todos los intelectuales del mediado siglo XX. Por eso influy</w:t>
      </w:r>
      <w:r w:rsidR="00DA0223">
        <w:rPr>
          <w:b/>
          <w:bCs/>
          <w:color w:val="FF0000"/>
        </w:rPr>
        <w:t>er</w:t>
      </w:r>
      <w:r w:rsidRPr="00F17E2E">
        <w:rPr>
          <w:b/>
          <w:bCs/>
          <w:color w:val="FF0000"/>
        </w:rPr>
        <w:t>o</w:t>
      </w:r>
      <w:r w:rsidR="00B84513">
        <w:rPr>
          <w:b/>
          <w:bCs/>
          <w:color w:val="FF0000"/>
        </w:rPr>
        <w:t>n</w:t>
      </w:r>
      <w:r w:rsidRPr="00F17E2E">
        <w:rPr>
          <w:b/>
          <w:bCs/>
          <w:color w:val="FF0000"/>
        </w:rPr>
        <w:t xml:space="preserve"> en el </w:t>
      </w:r>
      <w:r w:rsidR="00DA0223">
        <w:rPr>
          <w:b/>
          <w:bCs/>
          <w:color w:val="FF0000"/>
        </w:rPr>
        <w:t>C</w:t>
      </w:r>
      <w:r w:rsidRPr="00F17E2E">
        <w:rPr>
          <w:b/>
          <w:bCs/>
          <w:color w:val="FF0000"/>
        </w:rPr>
        <w:t>oncilio Vaticano II del</w:t>
      </w:r>
      <w:r>
        <w:rPr>
          <w:b/>
          <w:bCs/>
          <w:color w:val="FF0000"/>
        </w:rPr>
        <w:t xml:space="preserve"> q</w:t>
      </w:r>
      <w:r w:rsidRPr="00F17E2E">
        <w:rPr>
          <w:b/>
          <w:bCs/>
          <w:color w:val="FF0000"/>
        </w:rPr>
        <w:t>ue fue asesor.</w:t>
      </w:r>
    </w:p>
    <w:p w:rsidR="00F17E2E" w:rsidRDefault="00F17E2E" w:rsidP="00F17E2E">
      <w:pPr>
        <w:ind w:right="-567"/>
        <w:jc w:val="both"/>
        <w:rPr>
          <w:b/>
          <w:bCs/>
        </w:rPr>
      </w:pPr>
      <w:r w:rsidRPr="00F17E2E">
        <w:rPr>
          <w:b/>
          <w:bCs/>
          <w:color w:val="FF0000"/>
        </w:rPr>
        <w:t xml:space="preserve">  </w:t>
      </w:r>
      <w:r w:rsidR="00DA0223">
        <w:rPr>
          <w:b/>
          <w:bCs/>
          <w:color w:val="FF0000"/>
        </w:rPr>
        <w:t xml:space="preserve">  </w:t>
      </w:r>
      <w:r w:rsidRPr="00F17E2E">
        <w:rPr>
          <w:b/>
          <w:bCs/>
          <w:color w:val="FF0000"/>
        </w:rPr>
        <w:t>Se dio c</w:t>
      </w:r>
      <w:r>
        <w:rPr>
          <w:b/>
          <w:bCs/>
          <w:color w:val="FF0000"/>
        </w:rPr>
        <w:t>u</w:t>
      </w:r>
      <w:r w:rsidRPr="00F17E2E">
        <w:rPr>
          <w:b/>
          <w:bCs/>
          <w:color w:val="FF0000"/>
        </w:rPr>
        <w:t xml:space="preserve">enta de lo necesario </w:t>
      </w:r>
      <w:r>
        <w:rPr>
          <w:b/>
          <w:bCs/>
          <w:color w:val="FF0000"/>
        </w:rPr>
        <w:t>q</w:t>
      </w:r>
      <w:r w:rsidRPr="00F17E2E">
        <w:rPr>
          <w:b/>
          <w:bCs/>
          <w:color w:val="FF0000"/>
        </w:rPr>
        <w:t>ue era la cultura en los cristianos para evitar la super</w:t>
      </w:r>
      <w:r w:rsidRPr="00F17E2E">
        <w:rPr>
          <w:b/>
          <w:bCs/>
          <w:color w:val="FF0000"/>
        </w:rPr>
        <w:t>s</w:t>
      </w:r>
      <w:r w:rsidRPr="00F17E2E">
        <w:rPr>
          <w:b/>
          <w:bCs/>
          <w:color w:val="FF0000"/>
        </w:rPr>
        <w:t>tición o la comodidad de</w:t>
      </w:r>
      <w:r>
        <w:rPr>
          <w:b/>
          <w:bCs/>
          <w:color w:val="FF0000"/>
        </w:rPr>
        <w:t xml:space="preserve"> </w:t>
      </w:r>
      <w:r w:rsidRPr="00F17E2E">
        <w:rPr>
          <w:b/>
          <w:bCs/>
          <w:color w:val="FF0000"/>
        </w:rPr>
        <w:t>la rutina en la liturgia y en las tradiciones. Por eso muchos conservadores recelaron de sus ideas, que fuero</w:t>
      </w:r>
      <w:r>
        <w:rPr>
          <w:b/>
          <w:bCs/>
          <w:color w:val="FF0000"/>
        </w:rPr>
        <w:t>n</w:t>
      </w:r>
      <w:r w:rsidRPr="00F17E2E">
        <w:rPr>
          <w:b/>
          <w:bCs/>
          <w:color w:val="FF0000"/>
        </w:rPr>
        <w:t xml:space="preserve"> siempre serenas, bien expuestas y sól</w:t>
      </w:r>
      <w:r w:rsidRPr="00F17E2E">
        <w:rPr>
          <w:b/>
          <w:bCs/>
          <w:color w:val="FF0000"/>
        </w:rPr>
        <w:t>i</w:t>
      </w:r>
      <w:r w:rsidRPr="00F17E2E">
        <w:rPr>
          <w:b/>
          <w:bCs/>
          <w:color w:val="FF0000"/>
        </w:rPr>
        <w:t>da</w:t>
      </w:r>
      <w:r>
        <w:rPr>
          <w:b/>
          <w:bCs/>
          <w:color w:val="FF0000"/>
        </w:rPr>
        <w:t>s</w:t>
      </w:r>
      <w:r w:rsidRPr="00F17E2E">
        <w:rPr>
          <w:b/>
          <w:bCs/>
          <w:color w:val="FF0000"/>
        </w:rPr>
        <w:t xml:space="preserve"> en sus argumentaciones</w:t>
      </w:r>
      <w:r>
        <w:rPr>
          <w:b/>
          <w:bCs/>
        </w:rPr>
        <w:t>.</w:t>
      </w:r>
    </w:p>
    <w:p w:rsidR="00F17E2E" w:rsidRDefault="00F17E2E" w:rsidP="00F17E2E">
      <w:pPr>
        <w:ind w:right="-567"/>
        <w:jc w:val="both"/>
        <w:rPr>
          <w:b/>
          <w:bCs/>
        </w:rPr>
      </w:pPr>
    </w:p>
    <w:p w:rsidR="00F17E2E" w:rsidRDefault="00F17E2E" w:rsidP="00F17E2E">
      <w:pPr>
        <w:ind w:right="-567"/>
        <w:jc w:val="both"/>
        <w:rPr>
          <w:b/>
          <w:bCs/>
        </w:rPr>
      </w:pPr>
    </w:p>
    <w:p w:rsidR="00F17E2E" w:rsidRDefault="00F17E2E" w:rsidP="00F17E2E">
      <w:pPr>
        <w:ind w:right="-567"/>
        <w:jc w:val="both"/>
        <w:rPr>
          <w:b/>
        </w:rPr>
      </w:pPr>
      <w:r>
        <w:rPr>
          <w:b/>
          <w:bCs/>
        </w:rPr>
        <w:t xml:space="preserve">   </w:t>
      </w:r>
      <w:r w:rsidR="007667EE" w:rsidRPr="00F17E2E">
        <w:rPr>
          <w:b/>
          <w:bCs/>
        </w:rPr>
        <w:t xml:space="preserve">Karl </w:t>
      </w:r>
      <w:proofErr w:type="spellStart"/>
      <w:r w:rsidR="007667EE" w:rsidRPr="00F17E2E">
        <w:rPr>
          <w:b/>
          <w:bCs/>
        </w:rPr>
        <w:t>Rahner</w:t>
      </w:r>
      <w:proofErr w:type="spellEnd"/>
      <w:r w:rsidR="007667EE" w:rsidRPr="00F17E2E">
        <w:rPr>
          <w:b/>
          <w:bCs/>
        </w:rPr>
        <w:t xml:space="preserve"> S.J.</w:t>
      </w:r>
      <w:r w:rsidR="007667EE" w:rsidRPr="00F17E2E">
        <w:rPr>
          <w:b/>
        </w:rPr>
        <w:t xml:space="preserve"> (</w:t>
      </w:r>
      <w:hyperlink r:id="rId9" w:tooltip="Friburgo de Brisgovia" w:history="1">
        <w:r w:rsidR="007667EE" w:rsidRPr="00F17E2E">
          <w:rPr>
            <w:b/>
          </w:rPr>
          <w:t xml:space="preserve">Friburgo de </w:t>
        </w:r>
        <w:proofErr w:type="spellStart"/>
        <w:r w:rsidR="007667EE" w:rsidRPr="00F17E2E">
          <w:rPr>
            <w:b/>
          </w:rPr>
          <w:t>Brisgovia</w:t>
        </w:r>
        <w:proofErr w:type="spellEnd"/>
      </w:hyperlink>
      <w:r w:rsidR="007667EE" w:rsidRPr="00F17E2E">
        <w:rPr>
          <w:b/>
        </w:rPr>
        <w:t xml:space="preserve">, </w:t>
      </w:r>
      <w:hyperlink r:id="rId10" w:tooltip="Imperio Alemán" w:history="1">
        <w:r w:rsidR="007667EE" w:rsidRPr="00F17E2E">
          <w:rPr>
            <w:b/>
          </w:rPr>
          <w:t>Imperio Alemán</w:t>
        </w:r>
      </w:hyperlink>
      <w:r w:rsidR="007667EE" w:rsidRPr="00F17E2E">
        <w:rPr>
          <w:b/>
        </w:rPr>
        <w:t xml:space="preserve">, </w:t>
      </w:r>
      <w:hyperlink r:id="rId11" w:tooltip="5 de marzo" w:history="1">
        <w:r w:rsidR="007667EE" w:rsidRPr="00F17E2E">
          <w:rPr>
            <w:b/>
          </w:rPr>
          <w:t>5 de marzo</w:t>
        </w:r>
      </w:hyperlink>
      <w:r w:rsidR="007667EE" w:rsidRPr="00F17E2E">
        <w:rPr>
          <w:b/>
        </w:rPr>
        <w:t xml:space="preserve"> de </w:t>
      </w:r>
      <w:hyperlink r:id="rId12" w:tooltip="1904" w:history="1">
        <w:r w:rsidR="007667EE" w:rsidRPr="00F17E2E">
          <w:rPr>
            <w:b/>
          </w:rPr>
          <w:t>1904</w:t>
        </w:r>
      </w:hyperlink>
      <w:r w:rsidR="007667EE" w:rsidRPr="00F17E2E">
        <w:rPr>
          <w:b/>
        </w:rPr>
        <w:t xml:space="preserve"> – </w:t>
      </w:r>
      <w:hyperlink r:id="rId13" w:tooltip="Innsbruck" w:history="1">
        <w:r w:rsidR="007667EE" w:rsidRPr="00F17E2E">
          <w:rPr>
            <w:b/>
          </w:rPr>
          <w:t>Inn</w:t>
        </w:r>
        <w:r w:rsidR="007667EE" w:rsidRPr="00F17E2E">
          <w:rPr>
            <w:b/>
          </w:rPr>
          <w:t>s</w:t>
        </w:r>
        <w:r w:rsidR="007667EE" w:rsidRPr="00F17E2E">
          <w:rPr>
            <w:b/>
          </w:rPr>
          <w:t>bruck</w:t>
        </w:r>
      </w:hyperlink>
      <w:r w:rsidR="007667EE" w:rsidRPr="00F17E2E">
        <w:rPr>
          <w:b/>
        </w:rPr>
        <w:t xml:space="preserve">, </w:t>
      </w:r>
      <w:hyperlink r:id="rId14" w:tooltip="Austria" w:history="1">
        <w:r w:rsidR="007667EE" w:rsidRPr="00F17E2E">
          <w:rPr>
            <w:b/>
          </w:rPr>
          <w:t>Austria</w:t>
        </w:r>
      </w:hyperlink>
      <w:r w:rsidR="007667EE" w:rsidRPr="00F17E2E">
        <w:rPr>
          <w:b/>
        </w:rPr>
        <w:t xml:space="preserve">, </w:t>
      </w:r>
      <w:hyperlink r:id="rId15" w:tooltip="30 de marzo" w:history="1">
        <w:r w:rsidR="007667EE" w:rsidRPr="00F17E2E">
          <w:rPr>
            <w:b/>
          </w:rPr>
          <w:t>30 de marzo</w:t>
        </w:r>
      </w:hyperlink>
      <w:r w:rsidR="007667EE" w:rsidRPr="00F17E2E">
        <w:rPr>
          <w:b/>
        </w:rPr>
        <w:t xml:space="preserve"> de </w:t>
      </w:r>
      <w:hyperlink r:id="rId16" w:tooltip="1984" w:history="1">
        <w:r w:rsidR="007667EE" w:rsidRPr="00F17E2E">
          <w:rPr>
            <w:b/>
          </w:rPr>
          <w:t>1984</w:t>
        </w:r>
      </w:hyperlink>
      <w:r w:rsidR="007667EE" w:rsidRPr="00F17E2E">
        <w:rPr>
          <w:b/>
        </w:rPr>
        <w:t xml:space="preserve">) fue uno de los </w:t>
      </w:r>
      <w:hyperlink r:id="rId17" w:tooltip="Teología" w:history="1">
        <w:r w:rsidR="007667EE" w:rsidRPr="00F17E2E">
          <w:rPr>
            <w:b/>
          </w:rPr>
          <w:t>teólogos</w:t>
        </w:r>
      </w:hyperlink>
      <w:r w:rsidR="00DA0223">
        <w:t xml:space="preserve"> </w:t>
      </w:r>
      <w:hyperlink r:id="rId18" w:tooltip="Catolicismo" w:history="1">
        <w:r w:rsidR="007667EE" w:rsidRPr="00F17E2E">
          <w:rPr>
            <w:b/>
          </w:rPr>
          <w:t>católicos</w:t>
        </w:r>
      </w:hyperlink>
      <w:r w:rsidR="007667EE" w:rsidRPr="00F17E2E">
        <w:rPr>
          <w:b/>
        </w:rPr>
        <w:t xml:space="preserve"> más importantes del </w:t>
      </w:r>
      <w:hyperlink r:id="rId19" w:tooltip="Siglo XX" w:history="1">
        <w:r w:rsidR="007667EE" w:rsidRPr="00F17E2E">
          <w:rPr>
            <w:b/>
          </w:rPr>
          <w:t>siglo XX</w:t>
        </w:r>
      </w:hyperlink>
      <w:r w:rsidR="007667EE" w:rsidRPr="00F17E2E">
        <w:rPr>
          <w:b/>
        </w:rPr>
        <w:t xml:space="preserve">. Su teología influyó al </w:t>
      </w:r>
      <w:hyperlink r:id="rId20" w:tooltip="Concilio Vaticano II" w:history="1">
        <w:r w:rsidR="007667EE" w:rsidRPr="00F17E2E">
          <w:rPr>
            <w:b/>
          </w:rPr>
          <w:t>Segundo Concilio Vaticano</w:t>
        </w:r>
      </w:hyperlink>
      <w:r w:rsidR="007667EE" w:rsidRPr="00F17E2E">
        <w:rPr>
          <w:b/>
        </w:rPr>
        <w:t>.</w:t>
      </w:r>
      <w:r w:rsidR="00DA0223">
        <w:rPr>
          <w:b/>
        </w:rPr>
        <w:t xml:space="preserve"> </w:t>
      </w:r>
    </w:p>
    <w:p w:rsidR="00F17E2E" w:rsidRDefault="00F17E2E" w:rsidP="00F17E2E">
      <w:pPr>
        <w:ind w:right="-567"/>
        <w:jc w:val="both"/>
        <w:rPr>
          <w:b/>
        </w:rPr>
      </w:pPr>
    </w:p>
    <w:p w:rsidR="007667EE" w:rsidRPr="00F17E2E" w:rsidRDefault="00F17E2E" w:rsidP="00F17E2E">
      <w:pPr>
        <w:ind w:right="-567"/>
        <w:jc w:val="both"/>
        <w:rPr>
          <w:b/>
        </w:rPr>
      </w:pPr>
      <w:r>
        <w:rPr>
          <w:b/>
        </w:rPr>
        <w:t xml:space="preserve">  </w:t>
      </w:r>
      <w:r w:rsidR="007667EE" w:rsidRPr="00F17E2E">
        <w:rPr>
          <w:b/>
        </w:rPr>
        <w:t xml:space="preserve">Su obra </w:t>
      </w:r>
      <w:r w:rsidR="007667EE" w:rsidRPr="00F17E2E">
        <w:rPr>
          <w:b/>
          <w:i/>
          <w:iCs/>
        </w:rPr>
        <w:t>Fundamentos de la fe cristiana</w:t>
      </w:r>
      <w:r w:rsidR="007667EE" w:rsidRPr="00F17E2E">
        <w:rPr>
          <w:b/>
        </w:rPr>
        <w:t xml:space="preserve"> (</w:t>
      </w:r>
      <w:proofErr w:type="spellStart"/>
      <w:r w:rsidR="007667EE" w:rsidRPr="00F17E2E">
        <w:rPr>
          <w:b/>
        </w:rPr>
        <w:t>Grundkurs</w:t>
      </w:r>
      <w:proofErr w:type="spellEnd"/>
      <w:r w:rsidR="007667EE" w:rsidRPr="00F17E2E">
        <w:rPr>
          <w:b/>
        </w:rPr>
        <w:t xml:space="preserve"> des </w:t>
      </w:r>
      <w:proofErr w:type="spellStart"/>
      <w:r w:rsidR="007667EE" w:rsidRPr="00F17E2E">
        <w:rPr>
          <w:b/>
        </w:rPr>
        <w:t>Glaubens</w:t>
      </w:r>
      <w:proofErr w:type="spellEnd"/>
      <w:r w:rsidR="007667EE" w:rsidRPr="00F17E2E">
        <w:rPr>
          <w:b/>
        </w:rPr>
        <w:t>), escrita hacia el final de su vida, es su trabajo más desarrollado y sistemático, la mayor parte del cual fue p</w:t>
      </w:r>
      <w:r w:rsidR="007667EE" w:rsidRPr="00F17E2E">
        <w:rPr>
          <w:b/>
        </w:rPr>
        <w:t>u</w:t>
      </w:r>
      <w:r w:rsidR="007667EE" w:rsidRPr="00F17E2E">
        <w:rPr>
          <w:b/>
        </w:rPr>
        <w:t>blicad</w:t>
      </w:r>
      <w:r w:rsidR="00DA0223">
        <w:rPr>
          <w:b/>
        </w:rPr>
        <w:t>a</w:t>
      </w:r>
      <w:r w:rsidR="007667EE" w:rsidRPr="00F17E2E">
        <w:rPr>
          <w:b/>
        </w:rPr>
        <w:t xml:space="preserve"> en forma de ensayo teológico.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había trabajado junto a </w:t>
      </w:r>
      <w:hyperlink r:id="rId21" w:tooltip="Yves Congar" w:history="1">
        <w:r w:rsidR="007667EE" w:rsidRPr="00F17E2E">
          <w:rPr>
            <w:b/>
          </w:rPr>
          <w:t xml:space="preserve">Yves </w:t>
        </w:r>
        <w:proofErr w:type="spellStart"/>
        <w:r w:rsidR="007667EE" w:rsidRPr="00F17E2E">
          <w:rPr>
            <w:b/>
          </w:rPr>
          <w:t>Congar</w:t>
        </w:r>
        <w:proofErr w:type="spellEnd"/>
      </w:hyperlink>
      <w:r w:rsidR="007667EE" w:rsidRPr="00F17E2E">
        <w:rPr>
          <w:b/>
        </w:rPr>
        <w:t xml:space="preserve">, </w:t>
      </w:r>
      <w:hyperlink r:id="rId22" w:tooltip="Henri de Lubac" w:history="1">
        <w:r w:rsidR="007667EE" w:rsidRPr="00F17E2E">
          <w:rPr>
            <w:b/>
          </w:rPr>
          <w:t>He</w:t>
        </w:r>
        <w:r w:rsidR="007667EE" w:rsidRPr="00F17E2E">
          <w:rPr>
            <w:b/>
          </w:rPr>
          <w:t>n</w:t>
        </w:r>
        <w:r w:rsidR="007667EE" w:rsidRPr="00F17E2E">
          <w:rPr>
            <w:b/>
          </w:rPr>
          <w:t xml:space="preserve">ri de </w:t>
        </w:r>
        <w:proofErr w:type="spellStart"/>
        <w:r w:rsidR="007667EE" w:rsidRPr="00F17E2E">
          <w:rPr>
            <w:b/>
          </w:rPr>
          <w:t>Lubac</w:t>
        </w:r>
        <w:proofErr w:type="spellEnd"/>
      </w:hyperlink>
      <w:r w:rsidR="007667EE" w:rsidRPr="00F17E2E">
        <w:rPr>
          <w:b/>
        </w:rPr>
        <w:t xml:space="preserve"> y </w:t>
      </w:r>
      <w:hyperlink r:id="rId23" w:tooltip="Marie-Dominique Chenu" w:history="1">
        <w:r w:rsidR="007667EE" w:rsidRPr="00F17E2E">
          <w:rPr>
            <w:b/>
          </w:rPr>
          <w:t xml:space="preserve">Marie-Dominique </w:t>
        </w:r>
        <w:proofErr w:type="spellStart"/>
        <w:r w:rsidR="007667EE" w:rsidRPr="00F17E2E">
          <w:rPr>
            <w:b/>
          </w:rPr>
          <w:t>Chenu</w:t>
        </w:r>
        <w:proofErr w:type="spellEnd"/>
      </w:hyperlink>
      <w:r w:rsidR="007667EE" w:rsidRPr="00F17E2E">
        <w:rPr>
          <w:b/>
        </w:rPr>
        <w:t>, teólogos asociados a una escuela de pensamie</w:t>
      </w:r>
      <w:r w:rsidR="007667EE" w:rsidRPr="00F17E2E">
        <w:rPr>
          <w:b/>
        </w:rPr>
        <w:t>n</w:t>
      </w:r>
      <w:r w:rsidR="007667EE" w:rsidRPr="00F17E2E">
        <w:rPr>
          <w:b/>
        </w:rPr>
        <w:t xml:space="preserve">to emergente denominada </w:t>
      </w:r>
      <w:hyperlink r:id="rId24" w:tooltip="Nouvelle Théologie" w:history="1">
        <w:proofErr w:type="spellStart"/>
        <w:r w:rsidR="007667EE" w:rsidRPr="00F17E2E">
          <w:rPr>
            <w:b/>
          </w:rPr>
          <w:t>Nouvelle</w:t>
        </w:r>
        <w:proofErr w:type="spellEnd"/>
        <w:r w:rsidR="007667EE" w:rsidRPr="00F17E2E">
          <w:rPr>
            <w:b/>
          </w:rPr>
          <w:t xml:space="preserve"> </w:t>
        </w:r>
        <w:proofErr w:type="spellStart"/>
        <w:r w:rsidR="007667EE" w:rsidRPr="00F17E2E">
          <w:rPr>
            <w:b/>
          </w:rPr>
          <w:t>Théologie</w:t>
        </w:r>
        <w:proofErr w:type="spellEnd"/>
      </w:hyperlink>
      <w:r w:rsidR="007667EE" w:rsidRPr="00F17E2E">
        <w:rPr>
          <w:b/>
        </w:rPr>
        <w:t>,</w:t>
      </w:r>
      <w:r w:rsidR="00DA0223">
        <w:rPr>
          <w:b/>
        </w:rPr>
        <w:t xml:space="preserve"> reflejando  </w:t>
      </w:r>
      <w:r w:rsidR="007667EE" w:rsidRPr="00F17E2E">
        <w:rPr>
          <w:b/>
        </w:rPr>
        <w:t>los</w:t>
      </w:r>
      <w:r w:rsidR="00DA0223">
        <w:rPr>
          <w:b/>
        </w:rPr>
        <w:t xml:space="preserve"> </w:t>
      </w:r>
      <w:r w:rsidR="007667EE" w:rsidRPr="00F17E2E">
        <w:rPr>
          <w:b/>
        </w:rPr>
        <w:t xml:space="preserve"> elementos de </w:t>
      </w:r>
      <w:r w:rsidR="00DA0223">
        <w:rPr>
          <w:b/>
        </w:rPr>
        <w:t xml:space="preserve"> </w:t>
      </w:r>
      <w:r w:rsidR="007667EE" w:rsidRPr="00F17E2E">
        <w:rPr>
          <w:b/>
        </w:rPr>
        <w:t xml:space="preserve">que </w:t>
      </w:r>
      <w:r w:rsidR="00DA0223">
        <w:rPr>
          <w:b/>
        </w:rPr>
        <w:t xml:space="preserve"> </w:t>
      </w:r>
      <w:r w:rsidR="007667EE" w:rsidRPr="00F17E2E">
        <w:rPr>
          <w:b/>
        </w:rPr>
        <w:t>se había</w:t>
      </w:r>
      <w:r w:rsidR="00DA0223">
        <w:rPr>
          <w:b/>
        </w:rPr>
        <w:t>n</w:t>
      </w:r>
      <w:r w:rsidR="007667EE" w:rsidRPr="00F17E2E">
        <w:rPr>
          <w:b/>
        </w:rPr>
        <w:t xml:space="preserve"> criticado en la encíclica </w:t>
      </w:r>
      <w:hyperlink r:id="rId25" w:tooltip="Humani Generis" w:history="1">
        <w:proofErr w:type="spellStart"/>
        <w:r w:rsidR="007667EE" w:rsidRPr="00F17E2E">
          <w:rPr>
            <w:b/>
            <w:i/>
            <w:iCs/>
          </w:rPr>
          <w:t>Humani</w:t>
        </w:r>
        <w:proofErr w:type="spellEnd"/>
        <w:r w:rsidR="007667EE" w:rsidRPr="00F17E2E">
          <w:rPr>
            <w:b/>
            <w:i/>
            <w:iCs/>
          </w:rPr>
          <w:t xml:space="preserve"> Generis</w:t>
        </w:r>
      </w:hyperlink>
      <w:r w:rsidR="007667EE" w:rsidRPr="00F17E2E">
        <w:rPr>
          <w:b/>
        </w:rPr>
        <w:t xml:space="preserve"> del </w:t>
      </w:r>
      <w:hyperlink r:id="rId26" w:tooltip="Papa" w:history="1">
        <w:r w:rsidR="007667EE" w:rsidRPr="00F17E2E">
          <w:rPr>
            <w:b/>
          </w:rPr>
          <w:t>Papa</w:t>
        </w:r>
      </w:hyperlink>
      <w:r w:rsidR="00DA0223">
        <w:t xml:space="preserve"> </w:t>
      </w:r>
      <w:hyperlink r:id="rId27" w:tooltip="Pío XII" w:history="1">
        <w:r w:rsidR="007667EE" w:rsidRPr="00F17E2E">
          <w:rPr>
            <w:b/>
          </w:rPr>
          <w:t>Pío XII</w:t>
        </w:r>
      </w:hyperlink>
    </w:p>
    <w:p w:rsidR="007667EE" w:rsidRPr="00F17E2E" w:rsidRDefault="007667EE" w:rsidP="00F17E2E">
      <w:pPr>
        <w:ind w:right="-567"/>
        <w:jc w:val="both"/>
        <w:rPr>
          <w:b/>
        </w:rPr>
      </w:pP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   P</w:t>
      </w:r>
      <w:r w:rsidR="007667EE" w:rsidRPr="00F17E2E">
        <w:rPr>
          <w:b/>
        </w:rPr>
        <w:t xml:space="preserve">uede que su ensayo más importante fuese </w:t>
      </w:r>
      <w:r w:rsidR="007667EE" w:rsidRPr="00F17E2E">
        <w:rPr>
          <w:b/>
          <w:i/>
          <w:iCs/>
        </w:rPr>
        <w:t>La Trinidad</w:t>
      </w:r>
      <w:r w:rsidR="007667EE" w:rsidRPr="00F17E2E">
        <w:rPr>
          <w:b/>
        </w:rPr>
        <w:t>, que declaraba que “la Trin</w:t>
      </w:r>
      <w:r w:rsidR="007667EE" w:rsidRPr="00F17E2E">
        <w:rPr>
          <w:b/>
        </w:rPr>
        <w:t>i</w:t>
      </w:r>
      <w:r w:rsidR="007667EE" w:rsidRPr="00F17E2E">
        <w:rPr>
          <w:b/>
        </w:rPr>
        <w:t>dad económica es la Trinidad inmanente, y la Trinidad inmanente es la Trinidad econ</w:t>
      </w:r>
      <w:r w:rsidR="007667EE" w:rsidRPr="00F17E2E">
        <w:rPr>
          <w:b/>
        </w:rPr>
        <w:t>ó</w:t>
      </w:r>
      <w:r w:rsidR="007667EE" w:rsidRPr="00F17E2E">
        <w:rPr>
          <w:b/>
        </w:rPr>
        <w:t xml:space="preserve">mica”. Lo que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sintetizó con esta expresión es que el Dios del propio don (</w:t>
      </w:r>
      <w:proofErr w:type="spellStart"/>
      <w:r w:rsidR="007667EE" w:rsidRPr="00F17E2E">
        <w:rPr>
          <w:b/>
          <w:i/>
          <w:iCs/>
        </w:rPr>
        <w:t>Ge</w:t>
      </w:r>
      <w:r w:rsidR="007667EE" w:rsidRPr="00F17E2E">
        <w:rPr>
          <w:b/>
          <w:i/>
          <w:iCs/>
        </w:rPr>
        <w:t>s</w:t>
      </w:r>
      <w:r w:rsidR="007667EE" w:rsidRPr="00F17E2E">
        <w:rPr>
          <w:b/>
          <w:i/>
          <w:iCs/>
        </w:rPr>
        <w:t>chenk</w:t>
      </w:r>
      <w:proofErr w:type="spellEnd"/>
      <w:r w:rsidR="007667EE" w:rsidRPr="00F17E2E">
        <w:rPr>
          <w:b/>
        </w:rPr>
        <w:t xml:space="preserve">, que tiene también el sentido de “regalo”) es para la cristiandad el mismo Dios que en Sí mismo </w:t>
      </w:r>
      <w:r w:rsidR="00DA0223">
        <w:rPr>
          <w:b/>
        </w:rPr>
        <w:t xml:space="preserve">es </w:t>
      </w:r>
      <w:r w:rsidR="007667EE" w:rsidRPr="00F17E2E">
        <w:rPr>
          <w:b/>
        </w:rPr>
        <w:t>“inmanente”.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</w:t>
      </w:r>
      <w:r w:rsidR="007667EE" w:rsidRPr="00F17E2E">
        <w:rPr>
          <w:b/>
        </w:rPr>
        <w:t xml:space="preserve"> La completitud de la existencia humana ocurre al recibirse el don divino de su ser, a</w:t>
      </w:r>
      <w:r w:rsidR="007667EE" w:rsidRPr="00F17E2E">
        <w:rPr>
          <w:b/>
        </w:rPr>
        <w:t>l</w:t>
      </w:r>
      <w:r w:rsidR="007667EE" w:rsidRPr="00F17E2E">
        <w:rPr>
          <w:b/>
        </w:rPr>
        <w:t xml:space="preserve">canzable plenamente solamente a través de la </w:t>
      </w:r>
      <w:hyperlink r:id="rId28" w:tooltip="Visión beatífica" w:history="1">
        <w:r w:rsidR="007667EE" w:rsidRPr="00F17E2E">
          <w:rPr>
            <w:b/>
          </w:rPr>
          <w:t>visión beatífica</w:t>
        </w:r>
      </w:hyperlink>
      <w:r w:rsidR="007667EE" w:rsidRPr="00F17E2E">
        <w:rPr>
          <w:b/>
        </w:rPr>
        <w:t xml:space="preserve"> del fin de los tiempos, p</w:t>
      </w:r>
      <w:r w:rsidR="007667EE" w:rsidRPr="00F17E2E">
        <w:rPr>
          <w:b/>
        </w:rPr>
        <w:t>e</w:t>
      </w:r>
      <w:r w:rsidR="007667EE" w:rsidRPr="00F17E2E">
        <w:rPr>
          <w:b/>
        </w:rPr>
        <w:t xml:space="preserve">ro presente en el tiempo anterior como </w:t>
      </w:r>
      <w:hyperlink r:id="rId29" w:tooltip="Gracia divina" w:history="1">
        <w:r w:rsidR="007667EE" w:rsidRPr="00F17E2E">
          <w:rPr>
            <w:b/>
          </w:rPr>
          <w:t>gracia</w:t>
        </w:r>
      </w:hyperlink>
      <w:r w:rsidR="007667EE" w:rsidRPr="00F17E2E">
        <w:rPr>
          <w:b/>
        </w:rPr>
        <w:t xml:space="preserve">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  </w:t>
      </w:r>
      <w:r w:rsidR="007667EE" w:rsidRPr="00F17E2E">
        <w:rPr>
          <w:b/>
        </w:rPr>
        <w:t xml:space="preserve">La base de la teología de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es que todos los seres humanos tienen una concie</w:t>
      </w:r>
      <w:r w:rsidR="007667EE" w:rsidRPr="00F17E2E">
        <w:rPr>
          <w:b/>
        </w:rPr>
        <w:t>n</w:t>
      </w:r>
      <w:r w:rsidR="007667EE" w:rsidRPr="00F17E2E">
        <w:rPr>
          <w:b/>
        </w:rPr>
        <w:t>cia latente de Dios en cualquier experiencia de limitación del conocimiento o libertad como sujetos finitos. Dado que tal experiencia es necesaria, pues constituye la “cond</w:t>
      </w:r>
      <w:r w:rsidR="007667EE" w:rsidRPr="00F17E2E">
        <w:rPr>
          <w:b/>
        </w:rPr>
        <w:t>i</w:t>
      </w:r>
      <w:r w:rsidR="007667EE" w:rsidRPr="00F17E2E">
        <w:rPr>
          <w:b/>
        </w:rPr>
        <w:t xml:space="preserve">ción de posibilidad” de cualquier conocimiento o libertad como tal,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emplea el lenguaje de </w:t>
      </w:r>
      <w:hyperlink r:id="rId30" w:tooltip="Kant" w:history="1">
        <w:r w:rsidR="007667EE" w:rsidRPr="00F17E2E">
          <w:rPr>
            <w:b/>
          </w:rPr>
          <w:t>Kant</w:t>
        </w:r>
      </w:hyperlink>
      <w:r w:rsidR="007667EE" w:rsidRPr="00F17E2E">
        <w:rPr>
          <w:b/>
        </w:rPr>
        <w:t xml:space="preserve"> para describir esta experiencia como “experiencia trascendental”.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 </w:t>
      </w:r>
      <w:r w:rsidR="007667EE" w:rsidRPr="00F17E2E">
        <w:rPr>
          <w:b/>
        </w:rPr>
        <w:t xml:space="preserve">Tal es el alcance de la idea de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del “</w:t>
      </w:r>
      <w:r w:rsidR="007667EE" w:rsidRPr="00B84513">
        <w:rPr>
          <w:b/>
          <w:i/>
        </w:rPr>
        <w:t>conocimiento natural de Dios</w:t>
      </w:r>
      <w:r w:rsidR="007667EE" w:rsidRPr="00F17E2E">
        <w:rPr>
          <w:b/>
        </w:rPr>
        <w:t>”—el que pu</w:t>
      </w:r>
      <w:r w:rsidR="007667EE" w:rsidRPr="00F17E2E">
        <w:rPr>
          <w:b/>
        </w:rPr>
        <w:t>e</w:t>
      </w:r>
      <w:r w:rsidR="007667EE" w:rsidRPr="00F17E2E">
        <w:rPr>
          <w:b/>
        </w:rPr>
        <w:t xml:space="preserve">de ser conocido por la razón antes de la llegada de la revelación. </w:t>
      </w:r>
    </w:p>
    <w:p w:rsidR="007667EE" w:rsidRP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lastRenderedPageBreak/>
        <w:t xml:space="preserve">    </w:t>
      </w:r>
      <w:r w:rsidR="007667EE" w:rsidRPr="00F17E2E">
        <w:rPr>
          <w:b/>
        </w:rPr>
        <w:t xml:space="preserve">Sólo se puede aproximar a Dios asintóticamente, de la forma que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denomina “misterio absoluto”. Aunque se pueden suministrar pruebas de la existencia de Dios, estas pruebas sólo se refieren a la ineludible orientación del misterio que constituye—por necesidad trascendental— la naturaleza del ser humano.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   </w:t>
      </w:r>
      <w:r w:rsidR="007667EE" w:rsidRPr="00F17E2E">
        <w:rPr>
          <w:b/>
        </w:rPr>
        <w:t xml:space="preserve">Para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, la doctrina central del cristianismo es la </w:t>
      </w:r>
      <w:hyperlink r:id="rId31" w:tooltip="Gracia de Dios" w:history="1">
        <w:r w:rsidR="007667EE" w:rsidRPr="00F17E2E">
          <w:rPr>
            <w:b/>
          </w:rPr>
          <w:t>gracia</w:t>
        </w:r>
      </w:hyperlink>
      <w:r w:rsidR="007667EE" w:rsidRPr="00F17E2E">
        <w:rPr>
          <w:b/>
        </w:rPr>
        <w:t>. Es un término técnico que describe el mensaje central del evangelio: Dios se ha comunicado. La presencia del regalo de Dios, persistente e infalible en la vida de Cristo, sólo impedida por los errores de las interpretaciones depravadas e idólatras de este acontecimiento, es el punto ce</w:t>
      </w:r>
      <w:r w:rsidR="007667EE" w:rsidRPr="00F17E2E">
        <w:rPr>
          <w:b/>
        </w:rPr>
        <w:t>n</w:t>
      </w:r>
      <w:r w:rsidR="007667EE" w:rsidRPr="00F17E2E">
        <w:rPr>
          <w:b/>
        </w:rPr>
        <w:t xml:space="preserve">tral de la doctrina de la gracia. La gracia, según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>, es un elemento constitutivo ta</w:t>
      </w:r>
      <w:r w:rsidR="007667EE" w:rsidRPr="00F17E2E">
        <w:rPr>
          <w:b/>
        </w:rPr>
        <w:t>n</w:t>
      </w:r>
      <w:r w:rsidR="007667EE" w:rsidRPr="00F17E2E">
        <w:rPr>
          <w:b/>
        </w:rPr>
        <w:t xml:space="preserve">to de la realidad objetiva de la revelación (la Palabra proclamada) y el principio subjetivo de la Escucha (con el Espíritu). </w:t>
      </w: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 </w:t>
      </w:r>
      <w:r w:rsidR="007667EE" w:rsidRPr="00F17E2E">
        <w:rPr>
          <w:b/>
        </w:rPr>
        <w:t xml:space="preserve">La interpretación particular de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del modo en el que la gracia se manifiesta es que la gracia es una modificación permanente de la naturaleza humana hacia una existencia sobrenatural (tomando prestado el término a </w:t>
      </w:r>
      <w:hyperlink r:id="rId32" w:tooltip="Heidegger" w:history="1">
        <w:r w:rsidR="007667EE" w:rsidRPr="00F17E2E">
          <w:rPr>
            <w:b/>
          </w:rPr>
          <w:t>Heidegger</w:t>
        </w:r>
      </w:hyperlink>
      <w:r w:rsidR="007667EE" w:rsidRPr="00F17E2E">
        <w:rPr>
          <w:b/>
        </w:rPr>
        <w:t>). La gracia, bajo la luz del cri</w:t>
      </w:r>
      <w:r w:rsidR="007667EE" w:rsidRPr="00F17E2E">
        <w:rPr>
          <w:b/>
        </w:rPr>
        <w:t>s</w:t>
      </w:r>
      <w:r w:rsidR="007667EE" w:rsidRPr="00F17E2E">
        <w:rPr>
          <w:b/>
        </w:rPr>
        <w:t xml:space="preserve">tianismo, es un elemento constitutivo de la existencia del hombre. Por esta razón, </w:t>
      </w:r>
      <w:proofErr w:type="spellStart"/>
      <w:r w:rsidR="007667EE" w:rsidRPr="00F17E2E">
        <w:rPr>
          <w:b/>
        </w:rPr>
        <w:t>Ra</w:t>
      </w:r>
      <w:r w:rsidR="007667EE" w:rsidRPr="00F17E2E">
        <w:rPr>
          <w:b/>
        </w:rPr>
        <w:t>h</w:t>
      </w:r>
      <w:r w:rsidR="007667EE" w:rsidRPr="00F17E2E">
        <w:rPr>
          <w:b/>
        </w:rPr>
        <w:t>ner</w:t>
      </w:r>
      <w:proofErr w:type="spellEnd"/>
      <w:r w:rsidR="007667EE" w:rsidRPr="00F17E2E">
        <w:rPr>
          <w:b/>
        </w:rPr>
        <w:t xml:space="preserve"> duda de la posibilidad real de un estado de naturaleza pura (</w:t>
      </w:r>
      <w:r w:rsidR="007667EE" w:rsidRPr="00F17E2E">
        <w:rPr>
          <w:b/>
          <w:i/>
          <w:iCs/>
        </w:rPr>
        <w:t>natura pura</w:t>
      </w:r>
      <w:r w:rsidR="007667EE" w:rsidRPr="00F17E2E">
        <w:rPr>
          <w:b/>
        </w:rPr>
        <w:t xml:space="preserve">, existencia humana sin el involucramiento de la gracia), que le parece meramente imaginario.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 </w:t>
      </w:r>
      <w:r w:rsidR="007667EE" w:rsidRPr="00F17E2E">
        <w:rPr>
          <w:b/>
        </w:rPr>
        <w:t xml:space="preserve">Las fuentes filosóficas de la teología de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incluyen a </w:t>
      </w:r>
      <w:hyperlink r:id="rId33" w:tooltip="Tomás de Aquino" w:history="1">
        <w:r w:rsidR="007667EE" w:rsidRPr="00F17E2E">
          <w:rPr>
            <w:b/>
          </w:rPr>
          <w:t>Tomás de Aquino</w:t>
        </w:r>
      </w:hyperlink>
      <w:r w:rsidR="007667EE" w:rsidRPr="00F17E2E">
        <w:rPr>
          <w:b/>
        </w:rPr>
        <w:t>, leído de</w:t>
      </w:r>
      <w:r w:rsidR="007667EE" w:rsidRPr="00F17E2E">
        <w:rPr>
          <w:b/>
        </w:rPr>
        <w:t>s</w:t>
      </w:r>
      <w:r w:rsidR="007667EE" w:rsidRPr="00F17E2E">
        <w:rPr>
          <w:b/>
        </w:rPr>
        <w:t xml:space="preserve">de la perspectiva de la filosofía continental contemporánea. </w:t>
      </w:r>
      <w:proofErr w:type="spellStart"/>
      <w:r w:rsidR="007667EE" w:rsidRPr="00F17E2E">
        <w:rPr>
          <w:b/>
        </w:rPr>
        <w:t>Rahner</w:t>
      </w:r>
      <w:proofErr w:type="spellEnd"/>
      <w:r w:rsidR="007667EE" w:rsidRPr="00F17E2E">
        <w:rPr>
          <w:b/>
        </w:rPr>
        <w:t xml:space="preserve"> recibió clases de </w:t>
      </w:r>
      <w:hyperlink r:id="rId34" w:tooltip="Heidegger" w:history="1">
        <w:r w:rsidR="007667EE" w:rsidRPr="00F17E2E">
          <w:rPr>
            <w:b/>
          </w:rPr>
          <w:t>Heidegger</w:t>
        </w:r>
      </w:hyperlink>
      <w:r w:rsidR="007667EE" w:rsidRPr="00F17E2E">
        <w:rPr>
          <w:b/>
        </w:rPr>
        <w:t xml:space="preserve"> en la </w:t>
      </w:r>
      <w:hyperlink r:id="rId35" w:tooltip="Universidad de Friburgo (Alemania)" w:history="1">
        <w:r w:rsidR="007667EE" w:rsidRPr="00F17E2E">
          <w:rPr>
            <w:b/>
          </w:rPr>
          <w:t>Universidad de Friburgo</w:t>
        </w:r>
      </w:hyperlink>
      <w:r w:rsidR="007667EE" w:rsidRPr="00F17E2E">
        <w:rPr>
          <w:b/>
        </w:rPr>
        <w:t xml:space="preserve">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  <w:r>
        <w:rPr>
          <w:b/>
        </w:rPr>
        <w:t xml:space="preserve">   </w:t>
      </w:r>
      <w:r w:rsidR="007667EE" w:rsidRPr="00F17E2E">
        <w:rPr>
          <w:b/>
        </w:rPr>
        <w:t>En 1973 le fue conferido el</w:t>
      </w:r>
      <w:r>
        <w:rPr>
          <w:b/>
        </w:rPr>
        <w:t xml:space="preserve"> premio </w:t>
      </w:r>
      <w:r w:rsidR="007667EE" w:rsidRPr="00F17E2E">
        <w:rPr>
          <w:b/>
        </w:rPr>
        <w:t xml:space="preserve"> </w:t>
      </w:r>
      <w:hyperlink r:id="rId36" w:tooltip="Sigmund-Freud-Preis für wissenschaftliche Prosa" w:history="1">
        <w:proofErr w:type="spellStart"/>
        <w:r w:rsidR="007667EE" w:rsidRPr="00F17E2E">
          <w:rPr>
            <w:b/>
          </w:rPr>
          <w:t>Sigmund</w:t>
        </w:r>
        <w:proofErr w:type="spellEnd"/>
        <w:r w:rsidR="007667EE" w:rsidRPr="00F17E2E">
          <w:rPr>
            <w:b/>
          </w:rPr>
          <w:t>-Freud-</w:t>
        </w:r>
        <w:r w:rsidR="00DA0223">
          <w:rPr>
            <w:b/>
          </w:rPr>
          <w:t xml:space="preserve"> </w:t>
        </w:r>
        <w:proofErr w:type="spellStart"/>
        <w:r w:rsidR="007667EE" w:rsidRPr="00F17E2E">
          <w:rPr>
            <w:b/>
          </w:rPr>
          <w:t>Preis</w:t>
        </w:r>
        <w:proofErr w:type="spellEnd"/>
        <w:r w:rsidR="007667EE" w:rsidRPr="00F17E2E">
          <w:rPr>
            <w:b/>
          </w:rPr>
          <w:t xml:space="preserve"> </w:t>
        </w:r>
        <w:proofErr w:type="spellStart"/>
        <w:r w:rsidR="007667EE" w:rsidRPr="00F17E2E">
          <w:rPr>
            <w:b/>
          </w:rPr>
          <w:t>für</w:t>
        </w:r>
        <w:proofErr w:type="spellEnd"/>
        <w:r w:rsidR="007667EE" w:rsidRPr="00F17E2E">
          <w:rPr>
            <w:b/>
          </w:rPr>
          <w:t xml:space="preserve"> </w:t>
        </w:r>
        <w:proofErr w:type="spellStart"/>
        <w:r w:rsidR="007667EE" w:rsidRPr="00F17E2E">
          <w:rPr>
            <w:b/>
          </w:rPr>
          <w:t>wissenschaftliche</w:t>
        </w:r>
        <w:proofErr w:type="spellEnd"/>
        <w:r w:rsidR="00DA0223">
          <w:rPr>
            <w:b/>
          </w:rPr>
          <w:t xml:space="preserve">, en </w:t>
        </w:r>
        <w:r w:rsidR="007667EE" w:rsidRPr="00F17E2E">
          <w:rPr>
            <w:b/>
          </w:rPr>
          <w:t xml:space="preserve"> Prosa</w:t>
        </w:r>
      </w:hyperlink>
      <w:r w:rsidR="007667EE" w:rsidRPr="00F17E2E">
        <w:rPr>
          <w:b/>
        </w:rPr>
        <w:t xml:space="preserve">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outlineLvl w:val="1"/>
        <w:rPr>
          <w:b/>
          <w:b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outlineLvl w:val="1"/>
        <w:rPr>
          <w:b/>
          <w:bCs/>
          <w:color w:val="FF0000"/>
        </w:rPr>
      </w:pPr>
      <w:r w:rsidRPr="00F17E2E">
        <w:rPr>
          <w:b/>
          <w:bCs/>
          <w:color w:val="FF0000"/>
        </w:rPr>
        <w:t>Referencias</w:t>
      </w:r>
      <w:r w:rsidR="00F17E2E">
        <w:rPr>
          <w:b/>
          <w:bCs/>
          <w:color w:val="FF0000"/>
        </w:rPr>
        <w:t xml:space="preserve"> de sus escritos</w:t>
      </w: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outlineLvl w:val="1"/>
        <w:rPr>
          <w:b/>
          <w:b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proofErr w:type="spellStart"/>
      <w:r w:rsidRPr="00F17E2E">
        <w:rPr>
          <w:b/>
          <w:i/>
          <w:iCs/>
        </w:rPr>
        <w:t>The</w:t>
      </w:r>
      <w:proofErr w:type="spellEnd"/>
      <w:r w:rsidRPr="00F17E2E">
        <w:rPr>
          <w:b/>
          <w:i/>
          <w:iCs/>
        </w:rPr>
        <w:t xml:space="preserve"> SPCK </w:t>
      </w:r>
      <w:proofErr w:type="spellStart"/>
      <w:r w:rsidRPr="00F17E2E">
        <w:rPr>
          <w:b/>
          <w:i/>
          <w:iCs/>
        </w:rPr>
        <w:t>Introduction</w:t>
      </w:r>
      <w:proofErr w:type="spellEnd"/>
      <w:r w:rsidRPr="00F17E2E">
        <w:rPr>
          <w:b/>
          <w:i/>
          <w:iCs/>
        </w:rPr>
        <w:t xml:space="preserve"> </w:t>
      </w:r>
      <w:proofErr w:type="spellStart"/>
      <w:r w:rsidRPr="00F17E2E">
        <w:rPr>
          <w:b/>
          <w:i/>
          <w:iCs/>
        </w:rPr>
        <w:t>to</w:t>
      </w:r>
      <w:proofErr w:type="spellEnd"/>
      <w:r w:rsidRPr="00F17E2E">
        <w:rPr>
          <w:b/>
          <w:i/>
          <w:iCs/>
        </w:rPr>
        <w:t xml:space="preserve"> Karl </w:t>
      </w:r>
      <w:proofErr w:type="spellStart"/>
      <w:r w:rsidRPr="00F17E2E">
        <w:rPr>
          <w:b/>
          <w:i/>
          <w:iCs/>
        </w:rPr>
        <w:t>Rahner</w:t>
      </w:r>
      <w:proofErr w:type="spellEnd"/>
      <w:r w:rsidRPr="00F17E2E">
        <w:rPr>
          <w:b/>
        </w:rPr>
        <w:t xml:space="preserve"> por Karen </w:t>
      </w:r>
      <w:proofErr w:type="spellStart"/>
      <w:r w:rsidRPr="00F17E2E">
        <w:rPr>
          <w:b/>
        </w:rPr>
        <w:t>Kilby</w:t>
      </w:r>
      <w:proofErr w:type="spellEnd"/>
      <w:r w:rsidRPr="00F17E2E">
        <w:rPr>
          <w:b/>
        </w:rPr>
        <w:t xml:space="preserve"> (SPCK: London, fecha estimada de publicación, </w:t>
      </w:r>
      <w:proofErr w:type="spellStart"/>
      <w:r w:rsidRPr="00F17E2E">
        <w:rPr>
          <w:b/>
        </w:rPr>
        <w:t>April</w:t>
      </w:r>
      <w:proofErr w:type="spellEnd"/>
      <w:r w:rsidRPr="00F17E2E">
        <w:rPr>
          <w:b/>
        </w:rPr>
        <w:t xml:space="preserve"> 2007)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Oyente de la palabra. Fundamento para una filosofía de la religión.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(1976).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Episcopado y primado.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(2005).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Revelación y tradición.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(2005).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La Gracia como libertad.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(2008).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Sentido teológico de la muerte.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(2010).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Tolerancia, libertad y manipulación.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(2010).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Curso fundamental sobre la fe. Introducción al concepto del cristianismo.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(2012).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María, Madre del Señor.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(2012).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El concilio, un nuevo comienzo.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(2012).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La Iglesia y los sacramentos.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(2013).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Meditaciones sobre los ejercicios de san Ignacio.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(2014).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El significado de la navidad.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(2015).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Diccionario teológico.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(2015).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Lo dinámico en la Iglesia.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Fieles a la tierra. Reflexiones de un cristiano sobre la vida cotidiana.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Espíritu en el mundo. Metafísica del conocimiento finito según Tomás de Aquino.</w:t>
      </w:r>
      <w:r w:rsidRPr="00F17E2E">
        <w:rPr>
          <w:b/>
        </w:rPr>
        <w:t xml:space="preserve"> Barc</w:t>
      </w:r>
      <w:r w:rsidRPr="00F17E2E">
        <w:rPr>
          <w:b/>
        </w:rPr>
        <w:t>e</w:t>
      </w:r>
      <w:r w:rsidRPr="00F17E2E">
        <w:rPr>
          <w:b/>
        </w:rPr>
        <w:t xml:space="preserve">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Homiliario bíblico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Siervos de Cristo. Meditaciones en torno al sacerdocio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I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Sobre la inefabilidad de Dios. Experiencias de un teólogo católico</w:t>
      </w:r>
      <w:r w:rsidRPr="00F17E2E">
        <w:rPr>
          <w:b/>
        </w:rPr>
        <w:t xml:space="preserve">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Profesión de fe en Jesucristo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p w:rsidR="00F17E2E" w:rsidRDefault="00F17E2E" w:rsidP="00F17E2E">
      <w:pPr>
        <w:widowControl/>
        <w:autoSpaceDE/>
        <w:autoSpaceDN/>
        <w:adjustRightInd/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widowControl/>
        <w:autoSpaceDE/>
        <w:autoSpaceDN/>
        <w:adjustRightInd/>
        <w:ind w:right="-567"/>
        <w:jc w:val="both"/>
        <w:rPr>
          <w:b/>
        </w:rPr>
      </w:pPr>
      <w:r w:rsidRPr="00F17E2E">
        <w:rPr>
          <w:b/>
          <w:i/>
          <w:iCs/>
        </w:rPr>
        <w:t>Inspiración de la Sagrada Escritura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p w:rsidR="00F17E2E" w:rsidRDefault="00F17E2E" w:rsidP="00F17E2E">
      <w:pPr>
        <w:ind w:right="-567"/>
        <w:jc w:val="both"/>
        <w:rPr>
          <w:b/>
          <w:i/>
          <w:iCs/>
        </w:rPr>
      </w:pPr>
    </w:p>
    <w:p w:rsidR="007667EE" w:rsidRPr="00F17E2E" w:rsidRDefault="007667EE" w:rsidP="00F17E2E">
      <w:pPr>
        <w:ind w:right="-567"/>
        <w:jc w:val="both"/>
        <w:rPr>
          <w:b/>
        </w:rPr>
      </w:pPr>
      <w:r w:rsidRPr="00F17E2E">
        <w:rPr>
          <w:b/>
          <w:i/>
          <w:iCs/>
        </w:rPr>
        <w:t>El Sacerdocio cristiano en su realización existencial</w:t>
      </w:r>
      <w:r w:rsidRPr="00F17E2E">
        <w:rPr>
          <w:b/>
        </w:rPr>
        <w:t xml:space="preserve"> Barcelona, </w:t>
      </w:r>
      <w:proofErr w:type="spellStart"/>
      <w:r w:rsidRPr="00F17E2E">
        <w:rPr>
          <w:b/>
        </w:rPr>
        <w:t>Herder</w:t>
      </w:r>
      <w:proofErr w:type="spellEnd"/>
      <w:r w:rsidRPr="00F17E2E">
        <w:rPr>
          <w:b/>
        </w:rPr>
        <w:t xml:space="preserve"> (2016). </w:t>
      </w:r>
    </w:p>
    <w:sectPr w:rsidR="007667EE" w:rsidRPr="00F17E2E" w:rsidSect="00C84B97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10" w:rsidRDefault="00EE6E10" w:rsidP="005661D3">
      <w:r>
        <w:separator/>
      </w:r>
    </w:p>
  </w:endnote>
  <w:endnote w:type="continuationSeparator" w:id="1">
    <w:p w:rsidR="00EE6E10" w:rsidRDefault="00EE6E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10" w:rsidRDefault="00EE6E10" w:rsidP="005661D3">
      <w:r>
        <w:separator/>
      </w:r>
    </w:p>
  </w:footnote>
  <w:footnote w:type="continuationSeparator" w:id="1">
    <w:p w:rsidR="00EE6E10" w:rsidRDefault="00EE6E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6FF"/>
    <w:multiLevelType w:val="multilevel"/>
    <w:tmpl w:val="CA9A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74F18"/>
    <w:multiLevelType w:val="multilevel"/>
    <w:tmpl w:val="42C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D3B98"/>
    <w:multiLevelType w:val="multilevel"/>
    <w:tmpl w:val="0762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14CF3"/>
    <w:rsid w:val="00025B01"/>
    <w:rsid w:val="0003530E"/>
    <w:rsid w:val="000367C0"/>
    <w:rsid w:val="00056A7D"/>
    <w:rsid w:val="00066ADA"/>
    <w:rsid w:val="000824EF"/>
    <w:rsid w:val="00097A1B"/>
    <w:rsid w:val="000D5630"/>
    <w:rsid w:val="0012649F"/>
    <w:rsid w:val="00151A2E"/>
    <w:rsid w:val="001622EA"/>
    <w:rsid w:val="0016415A"/>
    <w:rsid w:val="001B015F"/>
    <w:rsid w:val="001B7720"/>
    <w:rsid w:val="001C2369"/>
    <w:rsid w:val="001D1959"/>
    <w:rsid w:val="001D2B60"/>
    <w:rsid w:val="001D33A6"/>
    <w:rsid w:val="001D5D58"/>
    <w:rsid w:val="002020C8"/>
    <w:rsid w:val="00204428"/>
    <w:rsid w:val="002045DD"/>
    <w:rsid w:val="002348A9"/>
    <w:rsid w:val="00256A6D"/>
    <w:rsid w:val="00257D28"/>
    <w:rsid w:val="0026022D"/>
    <w:rsid w:val="00275B8C"/>
    <w:rsid w:val="002A5FD9"/>
    <w:rsid w:val="002D58B4"/>
    <w:rsid w:val="002D5929"/>
    <w:rsid w:val="002F63D1"/>
    <w:rsid w:val="00312AE6"/>
    <w:rsid w:val="00326E69"/>
    <w:rsid w:val="003823D0"/>
    <w:rsid w:val="00397FDC"/>
    <w:rsid w:val="003B1330"/>
    <w:rsid w:val="003B1580"/>
    <w:rsid w:val="00402847"/>
    <w:rsid w:val="00415498"/>
    <w:rsid w:val="004154FE"/>
    <w:rsid w:val="00425A9F"/>
    <w:rsid w:val="00444BCB"/>
    <w:rsid w:val="004453FE"/>
    <w:rsid w:val="004515C7"/>
    <w:rsid w:val="00453B03"/>
    <w:rsid w:val="0045633D"/>
    <w:rsid w:val="00470D9F"/>
    <w:rsid w:val="0048569E"/>
    <w:rsid w:val="004A0931"/>
    <w:rsid w:val="004A1561"/>
    <w:rsid w:val="004A1935"/>
    <w:rsid w:val="004A4D6C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300FF"/>
    <w:rsid w:val="006417DB"/>
    <w:rsid w:val="00642F7A"/>
    <w:rsid w:val="006569D3"/>
    <w:rsid w:val="00671510"/>
    <w:rsid w:val="00684EFC"/>
    <w:rsid w:val="006A110E"/>
    <w:rsid w:val="006B057E"/>
    <w:rsid w:val="006C52F4"/>
    <w:rsid w:val="006F42C9"/>
    <w:rsid w:val="00705128"/>
    <w:rsid w:val="00714886"/>
    <w:rsid w:val="00715890"/>
    <w:rsid w:val="007200A8"/>
    <w:rsid w:val="00724294"/>
    <w:rsid w:val="00740B5C"/>
    <w:rsid w:val="007438AC"/>
    <w:rsid w:val="007563DA"/>
    <w:rsid w:val="007667EE"/>
    <w:rsid w:val="007724D2"/>
    <w:rsid w:val="007877A9"/>
    <w:rsid w:val="007C1EA8"/>
    <w:rsid w:val="007E3C2D"/>
    <w:rsid w:val="00811DF0"/>
    <w:rsid w:val="00835BE8"/>
    <w:rsid w:val="008438E6"/>
    <w:rsid w:val="0084598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0E44"/>
    <w:rsid w:val="00AE1375"/>
    <w:rsid w:val="00B000DE"/>
    <w:rsid w:val="00B21D8F"/>
    <w:rsid w:val="00B44F54"/>
    <w:rsid w:val="00B508F4"/>
    <w:rsid w:val="00B521CD"/>
    <w:rsid w:val="00B62BFE"/>
    <w:rsid w:val="00B646A1"/>
    <w:rsid w:val="00B81AED"/>
    <w:rsid w:val="00B84513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CE1468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A0223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E6E10"/>
    <w:rsid w:val="00EF2782"/>
    <w:rsid w:val="00F0348B"/>
    <w:rsid w:val="00F07B3A"/>
    <w:rsid w:val="00F167C4"/>
    <w:rsid w:val="00F17E2E"/>
    <w:rsid w:val="00F214E9"/>
    <w:rsid w:val="00F278F5"/>
    <w:rsid w:val="00F3470C"/>
    <w:rsid w:val="00F36164"/>
    <w:rsid w:val="00F42AD6"/>
    <w:rsid w:val="00F54D42"/>
    <w:rsid w:val="00F54EE9"/>
    <w:rsid w:val="00F577E7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C1EA8"/>
    <w:pPr>
      <w:tabs>
        <w:tab w:val="left" w:pos="-720"/>
        <w:tab w:val="left" w:pos="0"/>
      </w:tabs>
      <w:autoSpaceDE/>
      <w:autoSpaceDN/>
      <w:adjustRightInd/>
      <w:ind w:left="426" w:hanging="426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EA8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customStyle="1" w:styleId="Textodenotaalpie">
    <w:name w:val="Texto de nota al pie"/>
    <w:basedOn w:val="Normal"/>
    <w:rsid w:val="00AE0E44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AE0E44"/>
    <w:rPr>
      <w:vertAlign w:val="superscript"/>
    </w:rPr>
  </w:style>
  <w:style w:type="character" w:customStyle="1" w:styleId="wikidata-link">
    <w:name w:val="wikidata-link"/>
    <w:basedOn w:val="Fuentedeprrafopredeter"/>
    <w:rsid w:val="0040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Innsbruck" TargetMode="External"/><Relationship Id="rId18" Type="http://schemas.openxmlformats.org/officeDocument/2006/relationships/hyperlink" Target="https://es.wikipedia.org/wiki/Catolicismo" TargetMode="External"/><Relationship Id="rId26" Type="http://schemas.openxmlformats.org/officeDocument/2006/relationships/hyperlink" Target="https://es.wikipedia.org/wiki/Pap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Yves_Congar" TargetMode="External"/><Relationship Id="rId34" Type="http://schemas.openxmlformats.org/officeDocument/2006/relationships/hyperlink" Target="https://es.wikipedia.org/wiki/Heidegg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04" TargetMode="External"/><Relationship Id="rId17" Type="http://schemas.openxmlformats.org/officeDocument/2006/relationships/hyperlink" Target="https://es.wikipedia.org/wiki/Teolog%C3%ADa" TargetMode="External"/><Relationship Id="rId25" Type="http://schemas.openxmlformats.org/officeDocument/2006/relationships/hyperlink" Target="https://es.wikipedia.org/wiki/Humani_Generis" TargetMode="External"/><Relationship Id="rId33" Type="http://schemas.openxmlformats.org/officeDocument/2006/relationships/hyperlink" Target="https://es.wikipedia.org/wiki/Tom%C3%A1s_de_Aquin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984" TargetMode="External"/><Relationship Id="rId20" Type="http://schemas.openxmlformats.org/officeDocument/2006/relationships/hyperlink" Target="https://es.wikipedia.org/wiki/Concilio_Vaticano_II" TargetMode="External"/><Relationship Id="rId29" Type="http://schemas.openxmlformats.org/officeDocument/2006/relationships/hyperlink" Target="https://es.wikipedia.org/wiki/Gracia_divi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5_de_marzo" TargetMode="External"/><Relationship Id="rId24" Type="http://schemas.openxmlformats.org/officeDocument/2006/relationships/hyperlink" Target="https://es.wikipedia.org/wiki/Nouvelle_Th%C3%A9ologie" TargetMode="External"/><Relationship Id="rId32" Type="http://schemas.openxmlformats.org/officeDocument/2006/relationships/hyperlink" Target="https://es.wikipedia.org/wiki/Heidegge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30_de_marzo" TargetMode="External"/><Relationship Id="rId23" Type="http://schemas.openxmlformats.org/officeDocument/2006/relationships/hyperlink" Target="https://es.wikipedia.org/wiki/Marie-Dominique_Chenu" TargetMode="External"/><Relationship Id="rId28" Type="http://schemas.openxmlformats.org/officeDocument/2006/relationships/hyperlink" Target="https://es.wikipedia.org/wiki/Visi%C3%B3n_beat%C3%ADfica" TargetMode="External"/><Relationship Id="rId36" Type="http://schemas.openxmlformats.org/officeDocument/2006/relationships/hyperlink" Target="https://es.wikipedia.org/wiki/Sigmund-Freud-Preis_f%C3%BCr_wissenschaftliche_Prosa" TargetMode="External"/><Relationship Id="rId10" Type="http://schemas.openxmlformats.org/officeDocument/2006/relationships/hyperlink" Target="https://es.wikipedia.org/wiki/Imperio_Alem%C3%A1n" TargetMode="External"/><Relationship Id="rId19" Type="http://schemas.openxmlformats.org/officeDocument/2006/relationships/hyperlink" Target="https://es.wikipedia.org/wiki/Siglo_XX" TargetMode="External"/><Relationship Id="rId31" Type="http://schemas.openxmlformats.org/officeDocument/2006/relationships/hyperlink" Target="https://es.wikipedia.org/wiki/Gracia_de_Di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Friburgo_de_Brisgovia" TargetMode="External"/><Relationship Id="rId14" Type="http://schemas.openxmlformats.org/officeDocument/2006/relationships/hyperlink" Target="https://es.wikipedia.org/wiki/Austria" TargetMode="External"/><Relationship Id="rId22" Type="http://schemas.openxmlformats.org/officeDocument/2006/relationships/hyperlink" Target="https://es.wikipedia.org/wiki/Henri_de_Lubac" TargetMode="External"/><Relationship Id="rId27" Type="http://schemas.openxmlformats.org/officeDocument/2006/relationships/hyperlink" Target="https://es.wikipedia.org/wiki/P%C3%ADo_XII" TargetMode="External"/><Relationship Id="rId30" Type="http://schemas.openxmlformats.org/officeDocument/2006/relationships/hyperlink" Target="https://es.wikipedia.org/wiki/Kant" TargetMode="External"/><Relationship Id="rId35" Type="http://schemas.openxmlformats.org/officeDocument/2006/relationships/hyperlink" Target="https://es.wikipedia.org/wiki/Universidad_de_Friburgo_(Alemani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6D38-3A4D-44BD-8E02-0ED9E1D3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2019-07-31T05:47:00Z</dcterms:created>
  <dcterms:modified xsi:type="dcterms:W3CDTF">2019-07-31T05:47:00Z</dcterms:modified>
</cp:coreProperties>
</file>