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E10" w:rsidRPr="006C6E10" w:rsidRDefault="006C6E10" w:rsidP="006C6E10">
      <w:pPr>
        <w:pStyle w:val="Ttulo1"/>
        <w:jc w:val="center"/>
        <w:rPr>
          <w:rFonts w:ascii="Arial" w:hAnsi="Arial" w:cs="Arial"/>
          <w:color w:val="FF0000"/>
          <w:sz w:val="36"/>
          <w:szCs w:val="36"/>
        </w:rPr>
      </w:pPr>
      <w:r w:rsidRPr="006C6E10">
        <w:rPr>
          <w:rFonts w:ascii="Arial" w:hAnsi="Arial" w:cs="Arial"/>
          <w:color w:val="FF0000"/>
          <w:sz w:val="36"/>
          <w:szCs w:val="36"/>
        </w:rPr>
        <w:t xml:space="preserve">Jean Guitton  </w:t>
      </w:r>
      <w:r w:rsidR="00AB124A">
        <w:rPr>
          <w:rFonts w:ascii="Arial" w:hAnsi="Arial" w:cs="Arial"/>
          <w:color w:val="FF0000"/>
          <w:sz w:val="36"/>
          <w:szCs w:val="36"/>
        </w:rPr>
        <w:t xml:space="preserve">* </w:t>
      </w:r>
      <w:r w:rsidRPr="006C6E10">
        <w:rPr>
          <w:rFonts w:ascii="Arial" w:hAnsi="Arial" w:cs="Arial"/>
          <w:color w:val="FF0000"/>
          <w:sz w:val="36"/>
          <w:szCs w:val="36"/>
        </w:rPr>
        <w:t>1901  -  1999</w:t>
      </w:r>
    </w:p>
    <w:p w:rsidR="006C6E10" w:rsidRDefault="006C6E10" w:rsidP="006C6E10">
      <w:pPr>
        <w:pStyle w:val="Ttulo1"/>
        <w:jc w:val="center"/>
      </w:pPr>
      <w:r>
        <w:rPr>
          <w:b w:val="0"/>
          <w:bCs w:val="0"/>
          <w:noProof/>
        </w:rPr>
        <w:drawing>
          <wp:inline distT="0" distB="0" distL="0" distR="0">
            <wp:extent cx="1419225" cy="1914525"/>
            <wp:effectExtent l="1905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40" t="26679" r="75205" b="3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</w:rPr>
        <w:drawing>
          <wp:inline distT="0" distB="0" distL="0" distR="0">
            <wp:extent cx="1362075" cy="1914525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00" t="28545" r="75205" b="3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C" w:rsidRPr="00A80C2C" w:rsidRDefault="00A80C2C" w:rsidP="006C6E10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</w:t>
      </w:r>
      <w:r w:rsidR="00AB124A">
        <w:rPr>
          <w:rFonts w:ascii="Arial" w:hAnsi="Arial" w:cs="Arial"/>
          <w:b/>
          <w:bCs/>
          <w:color w:val="FF0000"/>
        </w:rPr>
        <w:t xml:space="preserve">    </w:t>
      </w:r>
      <w:r>
        <w:rPr>
          <w:rFonts w:ascii="Arial" w:hAnsi="Arial" w:cs="Arial"/>
          <w:b/>
          <w:bCs/>
          <w:color w:val="FF0000"/>
        </w:rPr>
        <w:t xml:space="preserve">El catequista está </w:t>
      </w:r>
      <w:r w:rsidRPr="00A80C2C">
        <w:rPr>
          <w:rFonts w:ascii="Arial" w:hAnsi="Arial" w:cs="Arial"/>
          <w:b/>
          <w:bCs/>
          <w:color w:val="FF0000"/>
        </w:rPr>
        <w:t>destin</w:t>
      </w:r>
      <w:r w:rsidR="009571DA">
        <w:rPr>
          <w:rFonts w:ascii="Arial" w:hAnsi="Arial" w:cs="Arial"/>
          <w:b/>
          <w:bCs/>
          <w:color w:val="FF0000"/>
        </w:rPr>
        <w:t>a</w:t>
      </w:r>
      <w:r w:rsidRPr="00A80C2C">
        <w:rPr>
          <w:rFonts w:ascii="Arial" w:hAnsi="Arial" w:cs="Arial"/>
          <w:b/>
          <w:bCs/>
          <w:color w:val="FF0000"/>
        </w:rPr>
        <w:t xml:space="preserve">do </w:t>
      </w:r>
      <w:r>
        <w:rPr>
          <w:rFonts w:ascii="Arial" w:hAnsi="Arial" w:cs="Arial"/>
          <w:b/>
          <w:bCs/>
          <w:color w:val="FF0000"/>
        </w:rPr>
        <w:t>a serlo a todas las edades</w:t>
      </w:r>
      <w:r w:rsidR="009571DA">
        <w:rPr>
          <w:rFonts w:ascii="Arial" w:hAnsi="Arial" w:cs="Arial"/>
          <w:b/>
          <w:bCs/>
          <w:color w:val="FF0000"/>
        </w:rPr>
        <w:t xml:space="preserve"> y en todos los lugares</w:t>
      </w:r>
      <w:r>
        <w:rPr>
          <w:rFonts w:ascii="Arial" w:hAnsi="Arial" w:cs="Arial"/>
          <w:b/>
          <w:bCs/>
          <w:color w:val="FF0000"/>
        </w:rPr>
        <w:t xml:space="preserve">. En catequesis no hay "jubilaciones", solo hay "jubilo". El </w:t>
      </w:r>
      <w:r w:rsidR="009571DA">
        <w:rPr>
          <w:rFonts w:ascii="Arial" w:hAnsi="Arial" w:cs="Arial"/>
          <w:b/>
          <w:bCs/>
          <w:color w:val="FF0000"/>
        </w:rPr>
        <w:t>v</w:t>
      </w:r>
      <w:r>
        <w:rPr>
          <w:rFonts w:ascii="Arial" w:hAnsi="Arial" w:cs="Arial"/>
          <w:b/>
          <w:bCs/>
          <w:color w:val="FF0000"/>
        </w:rPr>
        <w:t>erda</w:t>
      </w:r>
      <w:r w:rsidR="00AB124A">
        <w:rPr>
          <w:rFonts w:ascii="Arial" w:hAnsi="Arial" w:cs="Arial"/>
          <w:b/>
          <w:bCs/>
          <w:color w:val="FF0000"/>
        </w:rPr>
        <w:t>d</w:t>
      </w:r>
      <w:r>
        <w:rPr>
          <w:rFonts w:ascii="Arial" w:hAnsi="Arial" w:cs="Arial"/>
          <w:b/>
          <w:bCs/>
          <w:color w:val="FF0000"/>
        </w:rPr>
        <w:t>ero cat</w:t>
      </w:r>
      <w:r w:rsidR="00AB124A">
        <w:rPr>
          <w:rFonts w:ascii="Arial" w:hAnsi="Arial" w:cs="Arial"/>
          <w:b/>
          <w:bCs/>
          <w:color w:val="FF0000"/>
        </w:rPr>
        <w:t>e</w:t>
      </w:r>
      <w:r w:rsidR="009571DA">
        <w:rPr>
          <w:rFonts w:ascii="Arial" w:hAnsi="Arial" w:cs="Arial"/>
          <w:b/>
          <w:bCs/>
          <w:color w:val="FF0000"/>
        </w:rPr>
        <w:t>q</w:t>
      </w:r>
      <w:r>
        <w:rPr>
          <w:rFonts w:ascii="Arial" w:hAnsi="Arial" w:cs="Arial"/>
          <w:b/>
          <w:bCs/>
          <w:color w:val="FF0000"/>
        </w:rPr>
        <w:t xml:space="preserve">uista debe </w:t>
      </w:r>
      <w:r w:rsidRPr="00A80C2C">
        <w:rPr>
          <w:rFonts w:ascii="Arial" w:hAnsi="Arial" w:cs="Arial"/>
          <w:b/>
          <w:bCs/>
          <w:color w:val="FF0000"/>
        </w:rPr>
        <w:t>vivir todo lo posible. Pero si es buen catequista no se fija en la ed</w:t>
      </w:r>
      <w:r w:rsidR="009571DA">
        <w:rPr>
          <w:rFonts w:ascii="Arial" w:hAnsi="Arial" w:cs="Arial"/>
          <w:b/>
          <w:bCs/>
          <w:color w:val="FF0000"/>
        </w:rPr>
        <w:t>a</w:t>
      </w:r>
      <w:r w:rsidRPr="00A80C2C">
        <w:rPr>
          <w:rFonts w:ascii="Arial" w:hAnsi="Arial" w:cs="Arial"/>
          <w:b/>
          <w:bCs/>
          <w:color w:val="FF0000"/>
        </w:rPr>
        <w:t xml:space="preserve">d. Puede serlo </w:t>
      </w:r>
      <w:r>
        <w:rPr>
          <w:rFonts w:ascii="Arial" w:hAnsi="Arial" w:cs="Arial"/>
          <w:b/>
          <w:bCs/>
          <w:color w:val="FF0000"/>
        </w:rPr>
        <w:t>e</w:t>
      </w:r>
      <w:r w:rsidRPr="00A80C2C">
        <w:rPr>
          <w:rFonts w:ascii="Arial" w:hAnsi="Arial" w:cs="Arial"/>
          <w:b/>
          <w:bCs/>
          <w:color w:val="FF0000"/>
        </w:rPr>
        <w:t>n todo momento y a toda edad. La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A80C2C">
        <w:rPr>
          <w:rFonts w:ascii="Arial" w:hAnsi="Arial" w:cs="Arial"/>
          <w:b/>
          <w:bCs/>
          <w:color w:val="FF0000"/>
        </w:rPr>
        <w:t>asociaci</w:t>
      </w:r>
      <w:r w:rsidR="009571DA">
        <w:rPr>
          <w:rFonts w:ascii="Arial" w:hAnsi="Arial" w:cs="Arial"/>
          <w:b/>
          <w:bCs/>
          <w:color w:val="FF0000"/>
        </w:rPr>
        <w:t>ó</w:t>
      </w:r>
      <w:r w:rsidRPr="00A80C2C">
        <w:rPr>
          <w:rFonts w:ascii="Arial" w:hAnsi="Arial" w:cs="Arial"/>
          <w:b/>
          <w:bCs/>
          <w:color w:val="FF0000"/>
        </w:rPr>
        <w:t>n de cate</w:t>
      </w:r>
      <w:r>
        <w:rPr>
          <w:rFonts w:ascii="Arial" w:hAnsi="Arial" w:cs="Arial"/>
          <w:b/>
          <w:bCs/>
          <w:color w:val="FF0000"/>
        </w:rPr>
        <w:t>q</w:t>
      </w:r>
      <w:r w:rsidRPr="00A80C2C">
        <w:rPr>
          <w:rFonts w:ascii="Arial" w:hAnsi="Arial" w:cs="Arial"/>
          <w:b/>
          <w:bCs/>
          <w:color w:val="FF0000"/>
        </w:rPr>
        <w:t>uista y juventud</w:t>
      </w:r>
      <w:r w:rsidR="009571DA">
        <w:rPr>
          <w:rFonts w:ascii="Arial" w:hAnsi="Arial" w:cs="Arial"/>
          <w:b/>
          <w:bCs/>
          <w:color w:val="FF0000"/>
        </w:rPr>
        <w:t xml:space="preserve"> o infancia</w:t>
      </w:r>
      <w:r w:rsidRPr="00A80C2C">
        <w:rPr>
          <w:rFonts w:ascii="Arial" w:hAnsi="Arial" w:cs="Arial"/>
          <w:b/>
          <w:bCs/>
          <w:color w:val="FF0000"/>
        </w:rPr>
        <w:t xml:space="preserve"> no es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A80C2C">
        <w:rPr>
          <w:rFonts w:ascii="Arial" w:hAnsi="Arial" w:cs="Arial"/>
          <w:b/>
          <w:bCs/>
          <w:color w:val="FF0000"/>
        </w:rPr>
        <w:t>corr</w:t>
      </w:r>
      <w:r>
        <w:rPr>
          <w:rFonts w:ascii="Arial" w:hAnsi="Arial" w:cs="Arial"/>
          <w:b/>
          <w:bCs/>
          <w:color w:val="FF0000"/>
        </w:rPr>
        <w:t>e</w:t>
      </w:r>
      <w:r w:rsidRPr="00A80C2C">
        <w:rPr>
          <w:rFonts w:ascii="Arial" w:hAnsi="Arial" w:cs="Arial"/>
          <w:b/>
          <w:bCs/>
          <w:color w:val="FF0000"/>
        </w:rPr>
        <w:t>c</w:t>
      </w:r>
      <w:r>
        <w:rPr>
          <w:rFonts w:ascii="Arial" w:hAnsi="Arial" w:cs="Arial"/>
          <w:b/>
          <w:bCs/>
          <w:color w:val="FF0000"/>
        </w:rPr>
        <w:t>ta. Porq</w:t>
      </w:r>
      <w:r w:rsidRPr="00A80C2C">
        <w:rPr>
          <w:rFonts w:ascii="Arial" w:hAnsi="Arial" w:cs="Arial"/>
          <w:b/>
          <w:bCs/>
          <w:color w:val="FF0000"/>
        </w:rPr>
        <w:t>ue la catequesis se debe hacer dur</w:t>
      </w:r>
      <w:r>
        <w:rPr>
          <w:rFonts w:ascii="Arial" w:hAnsi="Arial" w:cs="Arial"/>
          <w:b/>
          <w:bCs/>
          <w:color w:val="FF0000"/>
        </w:rPr>
        <w:t>a</w:t>
      </w:r>
      <w:r w:rsidRPr="00A80C2C">
        <w:rPr>
          <w:rFonts w:ascii="Arial" w:hAnsi="Arial" w:cs="Arial"/>
          <w:b/>
          <w:bCs/>
          <w:color w:val="FF0000"/>
        </w:rPr>
        <w:t>r toda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A80C2C">
        <w:rPr>
          <w:rFonts w:ascii="Arial" w:hAnsi="Arial" w:cs="Arial"/>
          <w:b/>
          <w:bCs/>
          <w:color w:val="FF0000"/>
        </w:rPr>
        <w:t>la vida. Los mayores y los ancianos tiene</w:t>
      </w:r>
      <w:r>
        <w:rPr>
          <w:rFonts w:ascii="Arial" w:hAnsi="Arial" w:cs="Arial"/>
          <w:b/>
          <w:bCs/>
          <w:color w:val="FF0000"/>
        </w:rPr>
        <w:t>n</w:t>
      </w:r>
      <w:r w:rsidRPr="00A80C2C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>q</w:t>
      </w:r>
      <w:r w:rsidRPr="00A80C2C">
        <w:rPr>
          <w:rFonts w:ascii="Arial" w:hAnsi="Arial" w:cs="Arial"/>
          <w:b/>
          <w:bCs/>
          <w:color w:val="FF0000"/>
        </w:rPr>
        <w:t>ue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A80C2C">
        <w:rPr>
          <w:rFonts w:ascii="Arial" w:hAnsi="Arial" w:cs="Arial"/>
          <w:b/>
          <w:bCs/>
          <w:color w:val="FF0000"/>
        </w:rPr>
        <w:t>seguir cultivando el co</w:t>
      </w:r>
      <w:r>
        <w:rPr>
          <w:rFonts w:ascii="Arial" w:hAnsi="Arial" w:cs="Arial"/>
          <w:b/>
          <w:bCs/>
          <w:color w:val="FF0000"/>
        </w:rPr>
        <w:t>n</w:t>
      </w:r>
      <w:r w:rsidRPr="00A80C2C">
        <w:rPr>
          <w:rFonts w:ascii="Arial" w:hAnsi="Arial" w:cs="Arial"/>
          <w:b/>
          <w:bCs/>
          <w:color w:val="FF0000"/>
        </w:rPr>
        <w:t xml:space="preserve">ocimiento de </w:t>
      </w:r>
      <w:r>
        <w:rPr>
          <w:rFonts w:ascii="Arial" w:hAnsi="Arial" w:cs="Arial"/>
          <w:b/>
          <w:bCs/>
          <w:color w:val="FF0000"/>
        </w:rPr>
        <w:t>D</w:t>
      </w:r>
      <w:r w:rsidR="009571DA">
        <w:rPr>
          <w:rFonts w:ascii="Arial" w:hAnsi="Arial" w:cs="Arial"/>
          <w:b/>
          <w:bCs/>
          <w:color w:val="FF0000"/>
        </w:rPr>
        <w:t xml:space="preserve">ios, </w:t>
      </w:r>
      <w:r w:rsidRPr="00A80C2C">
        <w:rPr>
          <w:rFonts w:ascii="Arial" w:hAnsi="Arial" w:cs="Arial"/>
          <w:b/>
          <w:bCs/>
          <w:color w:val="FF0000"/>
        </w:rPr>
        <w:t>el m</w:t>
      </w:r>
      <w:r>
        <w:rPr>
          <w:rFonts w:ascii="Arial" w:hAnsi="Arial" w:cs="Arial"/>
          <w:b/>
          <w:bCs/>
          <w:color w:val="FF0000"/>
        </w:rPr>
        <w:t>ens</w:t>
      </w:r>
      <w:r w:rsidRPr="00A80C2C">
        <w:rPr>
          <w:rFonts w:ascii="Arial" w:hAnsi="Arial" w:cs="Arial"/>
          <w:b/>
          <w:bCs/>
          <w:color w:val="FF0000"/>
        </w:rPr>
        <w:t>aje del Evangelio, la práctica de las virtudes y de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A80C2C">
        <w:rPr>
          <w:rFonts w:ascii="Arial" w:hAnsi="Arial" w:cs="Arial"/>
          <w:b/>
          <w:bCs/>
          <w:color w:val="FF0000"/>
        </w:rPr>
        <w:t xml:space="preserve">la oración. Para </w:t>
      </w:r>
      <w:r>
        <w:rPr>
          <w:rFonts w:ascii="Arial" w:hAnsi="Arial" w:cs="Arial"/>
          <w:b/>
          <w:bCs/>
          <w:color w:val="FF0000"/>
        </w:rPr>
        <w:t>D</w:t>
      </w:r>
      <w:r w:rsidRPr="00A80C2C">
        <w:rPr>
          <w:rFonts w:ascii="Arial" w:hAnsi="Arial" w:cs="Arial"/>
          <w:b/>
          <w:bCs/>
          <w:color w:val="FF0000"/>
        </w:rPr>
        <w:t xml:space="preserve">ios, </w:t>
      </w:r>
      <w:r>
        <w:rPr>
          <w:rFonts w:ascii="Arial" w:hAnsi="Arial" w:cs="Arial"/>
          <w:b/>
          <w:bCs/>
          <w:color w:val="FF0000"/>
        </w:rPr>
        <w:t>q</w:t>
      </w:r>
      <w:r w:rsidRPr="00A80C2C">
        <w:rPr>
          <w:rFonts w:ascii="Arial" w:hAnsi="Arial" w:cs="Arial"/>
          <w:b/>
          <w:bCs/>
          <w:color w:val="FF0000"/>
        </w:rPr>
        <w:t>ue</w:t>
      </w:r>
      <w:r w:rsidR="009571DA">
        <w:rPr>
          <w:rFonts w:ascii="Arial" w:hAnsi="Arial" w:cs="Arial"/>
          <w:b/>
          <w:bCs/>
          <w:color w:val="FF0000"/>
        </w:rPr>
        <w:t xml:space="preserve"> es</w:t>
      </w:r>
      <w:r w:rsidRPr="00A80C2C">
        <w:rPr>
          <w:rFonts w:ascii="Arial" w:hAnsi="Arial" w:cs="Arial"/>
          <w:b/>
          <w:bCs/>
          <w:color w:val="FF0000"/>
        </w:rPr>
        <w:t xml:space="preserve"> eter</w:t>
      </w:r>
      <w:r>
        <w:rPr>
          <w:rFonts w:ascii="Arial" w:hAnsi="Arial" w:cs="Arial"/>
          <w:b/>
          <w:bCs/>
          <w:color w:val="FF0000"/>
        </w:rPr>
        <w:t>n</w:t>
      </w:r>
      <w:r w:rsidRPr="00A80C2C">
        <w:rPr>
          <w:rFonts w:ascii="Arial" w:hAnsi="Arial" w:cs="Arial"/>
          <w:b/>
          <w:bCs/>
          <w:color w:val="FF0000"/>
        </w:rPr>
        <w:t>o,</w:t>
      </w:r>
      <w:r w:rsidR="009571DA">
        <w:rPr>
          <w:rFonts w:ascii="Arial" w:hAnsi="Arial" w:cs="Arial"/>
          <w:b/>
          <w:bCs/>
          <w:color w:val="FF0000"/>
        </w:rPr>
        <w:t xml:space="preserve"> no hay tiempo. L</w:t>
      </w:r>
      <w:r w:rsidRPr="00A80C2C">
        <w:rPr>
          <w:rFonts w:ascii="Arial" w:hAnsi="Arial" w:cs="Arial"/>
          <w:b/>
          <w:bCs/>
          <w:color w:val="FF0000"/>
        </w:rPr>
        <w:t>a relación con él no tiene e</w:t>
      </w:r>
      <w:r>
        <w:rPr>
          <w:rFonts w:ascii="Arial" w:hAnsi="Arial" w:cs="Arial"/>
          <w:b/>
          <w:bCs/>
          <w:color w:val="FF0000"/>
        </w:rPr>
        <w:t>d</w:t>
      </w:r>
      <w:r w:rsidRPr="00A80C2C">
        <w:rPr>
          <w:rFonts w:ascii="Arial" w:hAnsi="Arial" w:cs="Arial"/>
          <w:b/>
          <w:bCs/>
          <w:color w:val="FF0000"/>
        </w:rPr>
        <w:t>ades.</w:t>
      </w:r>
      <w:r>
        <w:rPr>
          <w:rFonts w:ascii="Arial" w:hAnsi="Arial" w:cs="Arial"/>
          <w:b/>
          <w:bCs/>
          <w:color w:val="FF0000"/>
        </w:rPr>
        <w:t xml:space="preserve"> Para el hombre no debe tenerlas tampoco.</w:t>
      </w:r>
    </w:p>
    <w:p w:rsidR="006C6E10" w:rsidRPr="006C6E10" w:rsidRDefault="009571DA" w:rsidP="006C6E1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="006C6E10" w:rsidRPr="006C6E10">
        <w:rPr>
          <w:rFonts w:ascii="Arial" w:hAnsi="Arial" w:cs="Arial"/>
          <w:b/>
          <w:bCs/>
        </w:rPr>
        <w:t>Jean Guitton</w:t>
      </w:r>
      <w:r w:rsidR="006C6E10" w:rsidRPr="006C6E10">
        <w:rPr>
          <w:rFonts w:ascii="Arial" w:hAnsi="Arial" w:cs="Arial"/>
          <w:b/>
        </w:rPr>
        <w:t xml:space="preserve"> (</w:t>
      </w:r>
      <w:hyperlink r:id="rId10" w:tooltip="Saint-Étienne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Saint-Étienne</w:t>
        </w:r>
      </w:hyperlink>
      <w:r w:rsidR="006C6E10" w:rsidRPr="006C6E10">
        <w:rPr>
          <w:rFonts w:ascii="Arial" w:hAnsi="Arial" w:cs="Arial"/>
          <w:b/>
        </w:rPr>
        <w:t xml:space="preserve">, </w:t>
      </w:r>
      <w:hyperlink r:id="rId11" w:tooltip="18 de agosto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18 de agosto</w:t>
        </w:r>
      </w:hyperlink>
      <w:r w:rsidR="006C6E10" w:rsidRPr="006C6E10">
        <w:rPr>
          <w:rFonts w:ascii="Arial" w:hAnsi="Arial" w:cs="Arial"/>
          <w:b/>
        </w:rPr>
        <w:t xml:space="preserve"> de </w:t>
      </w:r>
      <w:hyperlink r:id="rId12" w:tooltip="1901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1901</w:t>
        </w:r>
      </w:hyperlink>
      <w:r w:rsidR="006C6E10" w:rsidRPr="006C6E10">
        <w:rPr>
          <w:rFonts w:ascii="Arial" w:hAnsi="Arial" w:cs="Arial"/>
          <w:b/>
        </w:rPr>
        <w:t xml:space="preserve"> – </w:t>
      </w:r>
      <w:hyperlink r:id="rId13" w:tooltip="París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="006C6E10" w:rsidRPr="006C6E10">
        <w:rPr>
          <w:rFonts w:ascii="Arial" w:hAnsi="Arial" w:cs="Arial"/>
          <w:b/>
        </w:rPr>
        <w:t xml:space="preserve">, </w:t>
      </w:r>
      <w:hyperlink r:id="rId14" w:tooltip="21 de marzo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21 de marzo</w:t>
        </w:r>
      </w:hyperlink>
      <w:r w:rsidR="006C6E10" w:rsidRPr="006C6E10">
        <w:rPr>
          <w:rFonts w:ascii="Arial" w:hAnsi="Arial" w:cs="Arial"/>
          <w:b/>
        </w:rPr>
        <w:t xml:space="preserve"> de </w:t>
      </w:r>
      <w:hyperlink r:id="rId15" w:tooltip="1999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1999</w:t>
        </w:r>
      </w:hyperlink>
      <w:r w:rsidR="006C6E10" w:rsidRPr="006C6E10">
        <w:rPr>
          <w:rFonts w:ascii="Arial" w:hAnsi="Arial" w:cs="Arial"/>
          <w:b/>
        </w:rPr>
        <w:t xml:space="preserve">), </w:t>
      </w:r>
      <w:hyperlink r:id="rId16" w:tooltip="Filósofo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="006C6E10" w:rsidRPr="006C6E10">
        <w:rPr>
          <w:rFonts w:ascii="Arial" w:hAnsi="Arial" w:cs="Arial"/>
          <w:b/>
        </w:rPr>
        <w:t xml:space="preserve"> y </w:t>
      </w:r>
      <w:hyperlink r:id="rId17" w:tooltip="Escritor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escritor</w:t>
        </w:r>
      </w:hyperlink>
      <w:r w:rsidR="006C6E10" w:rsidRPr="006C6E10">
        <w:rPr>
          <w:rFonts w:ascii="Arial" w:hAnsi="Arial" w:cs="Arial"/>
          <w:b/>
        </w:rPr>
        <w:t xml:space="preserve"> </w:t>
      </w:r>
      <w:hyperlink r:id="rId18" w:tooltip="Francia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="006C6E10" w:rsidRPr="006C6E10">
        <w:rPr>
          <w:rFonts w:ascii="Arial" w:hAnsi="Arial" w:cs="Arial"/>
          <w:b/>
        </w:rPr>
        <w:t xml:space="preserve">. </w:t>
      </w:r>
    </w:p>
    <w:p w:rsidR="006C6E10" w:rsidRPr="006C6E10" w:rsidRDefault="009571DA" w:rsidP="006C6E1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C6E10" w:rsidRPr="006C6E10">
        <w:rPr>
          <w:rFonts w:ascii="Arial" w:hAnsi="Arial" w:cs="Arial"/>
          <w:b/>
        </w:rPr>
        <w:t xml:space="preserve">Nació en una familia numerosa y </w:t>
      </w:r>
      <w:hyperlink r:id="rId19" w:tooltip="Catolicismo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católica</w:t>
        </w:r>
      </w:hyperlink>
      <w:r w:rsidR="006C6E10" w:rsidRPr="006C6E10">
        <w:rPr>
          <w:rFonts w:ascii="Arial" w:hAnsi="Arial" w:cs="Arial"/>
          <w:b/>
        </w:rPr>
        <w:t xml:space="preserve">. Su hermano </w:t>
      </w:r>
      <w:hyperlink r:id="rId20" w:tooltip="Henri Guitton (aún no redactado)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Henri</w:t>
        </w:r>
      </w:hyperlink>
      <w:r w:rsidR="006C6E10" w:rsidRPr="006C6E10">
        <w:rPr>
          <w:rFonts w:ascii="Arial" w:hAnsi="Arial" w:cs="Arial"/>
          <w:b/>
        </w:rPr>
        <w:t xml:space="preserve"> fue un reconocido </w:t>
      </w:r>
      <w:hyperlink r:id="rId21" w:tooltip="Economista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economista</w:t>
        </w:r>
      </w:hyperlink>
      <w:r w:rsidR="006C6E10" w:rsidRPr="006C6E10">
        <w:rPr>
          <w:rFonts w:ascii="Arial" w:hAnsi="Arial" w:cs="Arial"/>
          <w:b/>
        </w:rPr>
        <w:t xml:space="preserve">. Jean hizo estudios brillantes que lo llevaron a la École normale supérieure de la rue d'Ulm (promoción </w:t>
      </w:r>
      <w:hyperlink r:id="rId22" w:tooltip="1920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1920</w:t>
        </w:r>
      </w:hyperlink>
      <w:r w:rsidR="006C6E10" w:rsidRPr="006C6E10">
        <w:rPr>
          <w:rFonts w:ascii="Arial" w:hAnsi="Arial" w:cs="Arial"/>
          <w:b/>
        </w:rPr>
        <w:t xml:space="preserve">). Obtuvo una diplomatura en filosofía en </w:t>
      </w:r>
      <w:hyperlink r:id="rId23" w:tooltip="1923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1923</w:t>
        </w:r>
      </w:hyperlink>
      <w:r w:rsidR="006C6E10" w:rsidRPr="006C6E10">
        <w:rPr>
          <w:rFonts w:ascii="Arial" w:hAnsi="Arial" w:cs="Arial"/>
          <w:b/>
        </w:rPr>
        <w:t xml:space="preserve"> y en </w:t>
      </w:r>
      <w:hyperlink r:id="rId24" w:tooltip="1933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1933</w:t>
        </w:r>
      </w:hyperlink>
      <w:r w:rsidR="006C6E10" w:rsidRPr="006C6E10">
        <w:rPr>
          <w:rFonts w:ascii="Arial" w:hAnsi="Arial" w:cs="Arial"/>
          <w:b/>
        </w:rPr>
        <w:t xml:space="preserve"> un doctorado en letras. Su tesis tenía como título «Le temps et l'éternité chez Plotin et Augustin d'Hippone» ("El tiempo y la eternidad en </w:t>
      </w:r>
      <w:hyperlink r:id="rId25" w:tooltip="Plotino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</w:hyperlink>
      <w:r w:rsidR="006C6E10" w:rsidRPr="006C6E10">
        <w:rPr>
          <w:rFonts w:ascii="Arial" w:hAnsi="Arial" w:cs="Arial"/>
          <w:b/>
        </w:rPr>
        <w:t xml:space="preserve"> y</w:t>
      </w:r>
      <w:r w:rsidR="00AB124A">
        <w:rPr>
          <w:rFonts w:ascii="Arial" w:hAnsi="Arial" w:cs="Arial"/>
          <w:b/>
        </w:rPr>
        <w:t xml:space="preserve"> en</w:t>
      </w:r>
      <w:r w:rsidR="006C6E10" w:rsidRPr="006C6E10">
        <w:rPr>
          <w:rFonts w:ascii="Arial" w:hAnsi="Arial" w:cs="Arial"/>
          <w:b/>
        </w:rPr>
        <w:t xml:space="preserve"> </w:t>
      </w:r>
      <w:hyperlink r:id="rId26" w:tooltip="Agustín de Hipona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San Agustín</w:t>
        </w:r>
      </w:hyperlink>
      <w:r w:rsidR="006C6E10" w:rsidRPr="006C6E10">
        <w:rPr>
          <w:rFonts w:ascii="Arial" w:hAnsi="Arial" w:cs="Arial"/>
          <w:b/>
        </w:rPr>
        <w:t xml:space="preserve">"). Se dedicó algunos años a la enseñanza secundaria hasta que fue destinado a la </w:t>
      </w:r>
      <w:hyperlink r:id="rId27" w:tooltip="Universidad de Montpellier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Universidad de Montpellier</w:t>
        </w:r>
      </w:hyperlink>
      <w:r w:rsidR="006C6E10" w:rsidRPr="006C6E10">
        <w:rPr>
          <w:rFonts w:ascii="Arial" w:hAnsi="Arial" w:cs="Arial"/>
          <w:b/>
        </w:rPr>
        <w:t xml:space="preserve"> en </w:t>
      </w:r>
      <w:hyperlink r:id="rId28" w:tooltip="1937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1937</w:t>
        </w:r>
      </w:hyperlink>
      <w:r w:rsidR="006C6E10" w:rsidRPr="006C6E10">
        <w:rPr>
          <w:rFonts w:ascii="Arial" w:hAnsi="Arial" w:cs="Arial"/>
          <w:b/>
        </w:rPr>
        <w:t xml:space="preserve">. </w:t>
      </w:r>
    </w:p>
    <w:p w:rsidR="006C6E10" w:rsidRPr="006C6E10" w:rsidRDefault="009571DA" w:rsidP="006C6E1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C6E10" w:rsidRPr="006C6E10">
        <w:rPr>
          <w:rFonts w:ascii="Arial" w:hAnsi="Arial" w:cs="Arial"/>
          <w:b/>
        </w:rPr>
        <w:t xml:space="preserve">Durante la </w:t>
      </w:r>
      <w:hyperlink r:id="rId29" w:tooltip="Segunda Guerra Mundial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Segunda Guerra Mundial</w:t>
        </w:r>
      </w:hyperlink>
      <w:r w:rsidR="006C6E10" w:rsidRPr="006C6E10">
        <w:rPr>
          <w:rFonts w:ascii="Arial" w:hAnsi="Arial" w:cs="Arial"/>
          <w:b/>
        </w:rPr>
        <w:t xml:space="preserve"> fue prisionero de guerra. Amigo íntimo de Monseñor Montini (futuro papa </w:t>
      </w:r>
      <w:hyperlink r:id="rId30" w:tooltip="Pablo VI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Pablo VI</w:t>
        </w:r>
      </w:hyperlink>
      <w:r w:rsidR="006C6E10" w:rsidRPr="006C6E10">
        <w:rPr>
          <w:rFonts w:ascii="Arial" w:hAnsi="Arial" w:cs="Arial"/>
          <w:b/>
        </w:rPr>
        <w:t xml:space="preserve">). Fue llamado por </w:t>
      </w:r>
      <w:hyperlink r:id="rId31" w:tooltip="Juan XXIII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Juan XXIII</w:t>
        </w:r>
      </w:hyperlink>
      <w:r w:rsidR="006C6E10" w:rsidRPr="006C6E10">
        <w:rPr>
          <w:rFonts w:ascii="Arial" w:hAnsi="Arial" w:cs="Arial"/>
          <w:b/>
        </w:rPr>
        <w:t xml:space="preserve"> para participar en la preparación del </w:t>
      </w:r>
      <w:hyperlink r:id="rId32" w:tooltip="Concilio Vaticano II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concilio Vaticano II</w:t>
        </w:r>
      </w:hyperlink>
      <w:r w:rsidR="006C6E10" w:rsidRPr="006C6E10">
        <w:rPr>
          <w:rFonts w:ascii="Arial" w:hAnsi="Arial" w:cs="Arial"/>
          <w:b/>
        </w:rPr>
        <w:t xml:space="preserve"> donde además fue el único </w:t>
      </w:r>
      <w:hyperlink r:id="rId33" w:tooltip="Laico (religión)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laico</w:t>
        </w:r>
      </w:hyperlink>
      <w:r w:rsidR="006C6E10" w:rsidRPr="006C6E10">
        <w:rPr>
          <w:rFonts w:ascii="Arial" w:hAnsi="Arial" w:cs="Arial"/>
          <w:b/>
        </w:rPr>
        <w:t xml:space="preserve"> que participó activamente en su desarrollo. Paralelamente publicaba sus obras de filosofía y </w:t>
      </w:r>
      <w:hyperlink r:id="rId34" w:tooltip="Apologética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apologética</w:t>
        </w:r>
      </w:hyperlink>
      <w:r w:rsidR="006C6E10" w:rsidRPr="006C6E10">
        <w:rPr>
          <w:rFonts w:ascii="Arial" w:hAnsi="Arial" w:cs="Arial"/>
          <w:b/>
        </w:rPr>
        <w:t xml:space="preserve"> que lo transformaron en uno de los pensadores católicos más importantes del </w:t>
      </w:r>
      <w:hyperlink r:id="rId35" w:tooltip="Siglo XX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siglo XX</w:t>
        </w:r>
      </w:hyperlink>
      <w:r w:rsidR="006C6E10" w:rsidRPr="006C6E10">
        <w:rPr>
          <w:rFonts w:ascii="Arial" w:hAnsi="Arial" w:cs="Arial"/>
          <w:b/>
        </w:rPr>
        <w:t xml:space="preserve">. </w:t>
      </w:r>
    </w:p>
    <w:p w:rsidR="006C6E10" w:rsidRDefault="009571DA" w:rsidP="006C6E1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C6E10" w:rsidRPr="006C6E10">
        <w:rPr>
          <w:rFonts w:ascii="Arial" w:hAnsi="Arial" w:cs="Arial"/>
          <w:b/>
        </w:rPr>
        <w:t xml:space="preserve">El </w:t>
      </w:r>
      <w:hyperlink r:id="rId36" w:tooltip="8 de junio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8 de junio</w:t>
        </w:r>
      </w:hyperlink>
      <w:r w:rsidR="006C6E10" w:rsidRPr="006C6E10">
        <w:rPr>
          <w:rFonts w:ascii="Arial" w:hAnsi="Arial" w:cs="Arial"/>
          <w:b/>
        </w:rPr>
        <w:t xml:space="preserve"> de </w:t>
      </w:r>
      <w:hyperlink r:id="rId37" w:tooltip="1961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1961</w:t>
        </w:r>
      </w:hyperlink>
      <w:r w:rsidR="006C6E10" w:rsidRPr="006C6E10">
        <w:rPr>
          <w:rFonts w:ascii="Arial" w:hAnsi="Arial" w:cs="Arial"/>
          <w:b/>
        </w:rPr>
        <w:t xml:space="preserve"> fue elegido para la </w:t>
      </w:r>
      <w:hyperlink r:id="rId38" w:tooltip="Academia francesa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Academia francesa</w:t>
        </w:r>
      </w:hyperlink>
      <w:r w:rsidR="00AB124A">
        <w:rPr>
          <w:rStyle w:val="Hipervnculo"/>
          <w:rFonts w:ascii="Arial" w:hAnsi="Arial" w:cs="Arial"/>
          <w:b/>
          <w:color w:val="auto"/>
          <w:u w:val="none"/>
        </w:rPr>
        <w:t>,</w:t>
      </w:r>
      <w:r w:rsidR="006C6E10" w:rsidRPr="006C6E10">
        <w:rPr>
          <w:rFonts w:ascii="Arial" w:hAnsi="Arial" w:cs="Arial"/>
          <w:b/>
        </w:rPr>
        <w:t xml:space="preserve"> ocupando el sillón número 10 de </w:t>
      </w:r>
      <w:hyperlink r:id="rId39" w:tooltip="Léon Bérard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Léon Bérard</w:t>
        </w:r>
      </w:hyperlink>
      <w:r w:rsidR="006C6E10" w:rsidRPr="006C6E10">
        <w:rPr>
          <w:rFonts w:ascii="Arial" w:hAnsi="Arial" w:cs="Arial"/>
          <w:b/>
        </w:rPr>
        <w:t xml:space="preserve">. En </w:t>
      </w:r>
      <w:hyperlink r:id="rId40" w:tooltip="1987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1987</w:t>
        </w:r>
      </w:hyperlink>
      <w:r w:rsidR="006C6E10" w:rsidRPr="006C6E10">
        <w:rPr>
          <w:rFonts w:ascii="Arial" w:hAnsi="Arial" w:cs="Arial"/>
          <w:b/>
        </w:rPr>
        <w:t xml:space="preserve">, obtuvo su lugar en la </w:t>
      </w:r>
      <w:r w:rsidR="006C6E10" w:rsidRPr="006C6E10">
        <w:rPr>
          <w:rFonts w:ascii="Arial" w:hAnsi="Arial" w:cs="Arial"/>
          <w:b/>
          <w:i/>
          <w:iCs/>
        </w:rPr>
        <w:t>Académie des sciences morales et politiques</w:t>
      </w:r>
      <w:r w:rsidR="006C6E10" w:rsidRPr="006C6E10">
        <w:rPr>
          <w:rFonts w:ascii="Arial" w:hAnsi="Arial" w:cs="Arial"/>
          <w:b/>
        </w:rPr>
        <w:t xml:space="preserve"> en el sillón de </w:t>
      </w:r>
      <w:hyperlink r:id="rId41" w:tooltip="Ferdinand Alquié (aún no redactado)" w:history="1">
        <w:r w:rsidR="006C6E10" w:rsidRPr="006C6E10">
          <w:rPr>
            <w:rStyle w:val="Hipervnculo"/>
            <w:rFonts w:ascii="Arial" w:hAnsi="Arial" w:cs="Arial"/>
            <w:b/>
            <w:color w:val="auto"/>
            <w:u w:val="none"/>
          </w:rPr>
          <w:t>Ferdinand Alquié</w:t>
        </w:r>
      </w:hyperlink>
      <w:r w:rsidR="006C6E10" w:rsidRPr="006C6E10">
        <w:rPr>
          <w:rFonts w:ascii="Arial" w:hAnsi="Arial" w:cs="Arial"/>
          <w:b/>
        </w:rPr>
        <w:t xml:space="preserve">. </w:t>
      </w:r>
    </w:p>
    <w:p w:rsidR="006C6E10" w:rsidRPr="006C6E10" w:rsidRDefault="009571DA" w:rsidP="006C6E10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</w:t>
      </w:r>
      <w:r w:rsidR="006C6E10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sus 99 años comenzaba así</w:t>
      </w:r>
      <w:r w:rsidR="006C6E10">
        <w:rPr>
          <w:rFonts w:ascii="Arial" w:hAnsi="Arial" w:cs="Arial"/>
          <w:b/>
        </w:rPr>
        <w:t xml:space="preserve"> su Testamento filos</w:t>
      </w:r>
      <w:r>
        <w:rPr>
          <w:rFonts w:ascii="Arial" w:hAnsi="Arial" w:cs="Arial"/>
          <w:b/>
        </w:rPr>
        <w:t>ó</w:t>
      </w:r>
      <w:r w:rsidR="006C6E10">
        <w:rPr>
          <w:rFonts w:ascii="Arial" w:hAnsi="Arial" w:cs="Arial"/>
          <w:b/>
        </w:rPr>
        <w:t>fico</w:t>
      </w:r>
      <w:r w:rsidR="00AB124A">
        <w:rPr>
          <w:rFonts w:ascii="Arial" w:hAnsi="Arial" w:cs="Arial"/>
          <w:b/>
        </w:rPr>
        <w:t>:</w:t>
      </w:r>
      <w:bookmarkStart w:id="0" w:name="_GoBack"/>
      <w:bookmarkEnd w:id="0"/>
      <w:r w:rsidR="00AB124A">
        <w:t xml:space="preserve">  </w:t>
      </w:r>
      <w:r w:rsidR="006C6E10">
        <w:t>"</w:t>
      </w:r>
      <w:r w:rsidR="006C6E10" w:rsidRPr="006C6E10">
        <w:rPr>
          <w:rFonts w:ascii="Arial" w:hAnsi="Arial" w:cs="Arial"/>
          <w:b/>
          <w:color w:val="0070C0"/>
        </w:rPr>
        <w:t>La noche de mi muerte ocurrieron cosas extrañas en mi apartamento parisino...".Un Jean Guitton casi centenario imagina en Mi testamento filosófico</w:t>
      </w:r>
      <w:r>
        <w:rPr>
          <w:rFonts w:ascii="Arial" w:hAnsi="Arial" w:cs="Arial"/>
          <w:b/>
          <w:color w:val="0070C0"/>
        </w:rPr>
        <w:t xml:space="preserve"> </w:t>
      </w:r>
      <w:r w:rsidR="006C6E10" w:rsidRPr="006C6E10">
        <w:rPr>
          <w:rFonts w:ascii="Arial" w:hAnsi="Arial" w:cs="Arial"/>
          <w:b/>
          <w:color w:val="0070C0"/>
        </w:rPr>
        <w:t xml:space="preserve">su muerte, su entierro y su juicio. En su lecho de muerte dialoga con Pascal sobre las razones para creer en Dios, con Bergson sobre las razones para ser cristiano y con Pablo VI sobre las razones de ser católico. Durante su entierro conversa sobre el arte </w:t>
      </w:r>
      <w:r>
        <w:rPr>
          <w:rFonts w:ascii="Arial" w:hAnsi="Arial" w:cs="Arial"/>
          <w:b/>
          <w:color w:val="0070C0"/>
        </w:rPr>
        <w:t>con el Greco, sobre el mal con D</w:t>
      </w:r>
      <w:r w:rsidR="006C6E10" w:rsidRPr="006C6E10">
        <w:rPr>
          <w:rFonts w:ascii="Arial" w:hAnsi="Arial" w:cs="Arial"/>
          <w:b/>
          <w:color w:val="0070C0"/>
        </w:rPr>
        <w:t>e Gaulle, sobre el amor y la poesía con Dante y sobre la filosofía con Sócrates. En su juicio intervienen santa Teresa de Lisieux y François Mitterrand... Una obra de deliciosa lectura, en la que uno de los filósofos católicos más importantes del siglo XX renueva las cuestiones esenciales sobre el sentido de la vida y nos regala un testimonio lleno de sabiduría</w:t>
      </w:r>
      <w:r>
        <w:rPr>
          <w:rFonts w:ascii="Arial" w:hAnsi="Arial" w:cs="Arial"/>
          <w:b/>
          <w:color w:val="0070C0"/>
        </w:rPr>
        <w:t>, de paz y de</w:t>
      </w:r>
      <w:r w:rsidR="006C6E10" w:rsidRPr="006C6E10">
        <w:rPr>
          <w:rFonts w:ascii="Arial" w:hAnsi="Arial" w:cs="Arial"/>
          <w:b/>
          <w:color w:val="0070C0"/>
        </w:rPr>
        <w:t xml:space="preserve"> humildad</w:t>
      </w:r>
      <w:r>
        <w:rPr>
          <w:rFonts w:ascii="Arial" w:hAnsi="Arial" w:cs="Arial"/>
          <w:b/>
          <w:color w:val="0070C0"/>
        </w:rPr>
        <w:t>.</w:t>
      </w:r>
    </w:p>
    <w:p w:rsidR="006C6E10" w:rsidRPr="00A80C2C" w:rsidRDefault="006C6E10" w:rsidP="006C6E10">
      <w:pPr>
        <w:pStyle w:val="Ttulo2"/>
        <w:rPr>
          <w:rFonts w:ascii="Arial" w:hAnsi="Arial" w:cs="Arial"/>
          <w:color w:val="FF0000"/>
          <w:sz w:val="24"/>
          <w:szCs w:val="24"/>
        </w:rPr>
      </w:pPr>
      <w:r w:rsidRPr="00A80C2C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Bibliografía</w:t>
      </w:r>
    </w:p>
    <w:p w:rsidR="006C6E10" w:rsidRPr="006C6E10" w:rsidRDefault="006C6E10" w:rsidP="006C6E10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6C6E10">
        <w:rPr>
          <w:b/>
          <w:i/>
          <w:iCs/>
          <w:lang w:val="en-US"/>
        </w:rPr>
        <w:t>Le temps et l'éternité chez Plotin et Saint Augustin</w:t>
      </w:r>
      <w:r w:rsidRPr="006C6E10">
        <w:rPr>
          <w:b/>
          <w:lang w:val="en-US"/>
        </w:rPr>
        <w:t xml:space="preserve"> (1933)</w:t>
      </w:r>
    </w:p>
    <w:p w:rsidR="006C6E10" w:rsidRPr="006C6E10" w:rsidRDefault="006C6E10" w:rsidP="006C6E10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 xml:space="preserve">La philosophie de </w:t>
      </w:r>
      <w:hyperlink r:id="rId42" w:tooltip="Gottfried Wilhelm von Leibniz" w:history="1">
        <w:r w:rsidRPr="006C6E10">
          <w:rPr>
            <w:rStyle w:val="Hipervnculo"/>
            <w:b/>
            <w:i/>
            <w:iCs/>
            <w:color w:val="auto"/>
            <w:u w:val="none"/>
          </w:rPr>
          <w:t>Leibniz</w:t>
        </w:r>
      </w:hyperlink>
      <w:r w:rsidRPr="006C6E10">
        <w:rPr>
          <w:b/>
        </w:rPr>
        <w:t xml:space="preserve"> (1933)</w:t>
      </w:r>
    </w:p>
    <w:p w:rsidR="006C6E10" w:rsidRPr="006C6E10" w:rsidRDefault="006C6E10" w:rsidP="006C6E10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Actualité de saint Augustin</w:t>
      </w:r>
      <w:r w:rsidRPr="006C6E10">
        <w:rPr>
          <w:b/>
        </w:rPr>
        <w:t xml:space="preserve"> (1935)</w:t>
      </w:r>
    </w:p>
    <w:p w:rsidR="006C6E10" w:rsidRPr="006C6E10" w:rsidRDefault="006C6E10" w:rsidP="006C6E10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La pensée moderne et le catholicisme</w:t>
      </w:r>
      <w:r w:rsidRPr="006C6E10">
        <w:rPr>
          <w:b/>
        </w:rPr>
        <w:t xml:space="preserve"> (1934—1950) </w:t>
      </w:r>
    </w:p>
    <w:p w:rsidR="006C6E10" w:rsidRPr="006C6E10" w:rsidRDefault="006C6E10" w:rsidP="006C6E10">
      <w:pPr>
        <w:widowControl/>
        <w:numPr>
          <w:ilvl w:val="1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Perspectives</w:t>
      </w:r>
      <w:r w:rsidRPr="006C6E10">
        <w:rPr>
          <w:b/>
        </w:rPr>
        <w:t xml:space="preserve"> (1934)</w:t>
      </w:r>
    </w:p>
    <w:p w:rsidR="006C6E10" w:rsidRPr="006C6E10" w:rsidRDefault="00AB124A" w:rsidP="006C6E10">
      <w:pPr>
        <w:widowControl/>
        <w:numPr>
          <w:ilvl w:val="1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3" w:tooltip="John Henry Newman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Newman</w:t>
        </w:r>
      </w:hyperlink>
      <w:r w:rsidR="006C6E10" w:rsidRPr="006C6E10">
        <w:rPr>
          <w:b/>
          <w:i/>
          <w:iCs/>
        </w:rPr>
        <w:t xml:space="preserve"> et </w:t>
      </w:r>
      <w:hyperlink r:id="rId44" w:tooltip="Ernest Renan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Renan</w:t>
        </w:r>
      </w:hyperlink>
      <w:r w:rsidR="006C6E10" w:rsidRPr="006C6E10">
        <w:rPr>
          <w:b/>
        </w:rPr>
        <w:t xml:space="preserve"> (1938)</w:t>
      </w:r>
    </w:p>
    <w:p w:rsidR="006C6E10" w:rsidRPr="006C6E10" w:rsidRDefault="006C6E10" w:rsidP="006C6E10">
      <w:pPr>
        <w:widowControl/>
        <w:numPr>
          <w:ilvl w:val="1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 xml:space="preserve">La pensée de </w:t>
      </w:r>
      <w:hyperlink r:id="rId45" w:tooltip="Alfred Loisy" w:history="1">
        <w:r w:rsidRPr="006C6E10">
          <w:rPr>
            <w:rStyle w:val="Hipervnculo"/>
            <w:b/>
            <w:i/>
            <w:iCs/>
            <w:color w:val="auto"/>
            <w:u w:val="none"/>
          </w:rPr>
          <w:t>M. Loisy</w:t>
        </w:r>
      </w:hyperlink>
      <w:r w:rsidRPr="006C6E10">
        <w:rPr>
          <w:b/>
        </w:rPr>
        <w:t xml:space="preserve"> (1936)</w:t>
      </w:r>
    </w:p>
    <w:p w:rsidR="006C6E10" w:rsidRPr="006C6E10" w:rsidRDefault="006C6E10" w:rsidP="006C6E10">
      <w:pPr>
        <w:widowControl/>
        <w:numPr>
          <w:ilvl w:val="1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Critique de la critique</w:t>
      </w:r>
      <w:r w:rsidRPr="006C6E10">
        <w:rPr>
          <w:b/>
        </w:rPr>
        <w:t xml:space="preserve"> (1937)</w:t>
      </w:r>
    </w:p>
    <w:p w:rsidR="006C6E10" w:rsidRPr="006C6E10" w:rsidRDefault="006C6E10" w:rsidP="006C6E10">
      <w:pPr>
        <w:widowControl/>
        <w:numPr>
          <w:ilvl w:val="1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Le problème de la connaissance et de la pensée religieuse</w:t>
      </w:r>
    </w:p>
    <w:p w:rsidR="006C6E10" w:rsidRPr="006C6E10" w:rsidRDefault="006C6E10" w:rsidP="006C6E10">
      <w:pPr>
        <w:widowControl/>
        <w:numPr>
          <w:ilvl w:val="1"/>
          <w:numId w:val="14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Le problème de Jésus et le fondement du témoignage chrétien</w:t>
      </w:r>
      <w:r w:rsidRPr="006C6E10">
        <w:rPr>
          <w:b/>
        </w:rPr>
        <w:t xml:space="preserve"> (1946)</w:t>
      </w:r>
    </w:p>
    <w:p w:rsidR="006C6E10" w:rsidRPr="006C6E10" w:rsidRDefault="006C6E10" w:rsidP="006C6E10">
      <w:pPr>
        <w:widowControl/>
        <w:numPr>
          <w:ilvl w:val="1"/>
          <w:numId w:val="14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6C6E10">
        <w:rPr>
          <w:b/>
          <w:i/>
          <w:iCs/>
          <w:lang w:val="en-US"/>
        </w:rPr>
        <w:t>Développement des idées dans l'Ancien Testament</w:t>
      </w:r>
      <w:r w:rsidRPr="006C6E10">
        <w:rPr>
          <w:b/>
          <w:lang w:val="en-US"/>
        </w:rPr>
        <w:t xml:space="preserve"> (1947)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Journal de captivité</w:t>
      </w:r>
      <w:r w:rsidRPr="006C6E10">
        <w:rPr>
          <w:b/>
        </w:rPr>
        <w:t>, (1942–1943)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Nouvel art de penser</w:t>
      </w:r>
      <w:r w:rsidRPr="006C6E10">
        <w:rPr>
          <w:b/>
        </w:rPr>
        <w:t xml:space="preserve"> (1946)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Le problème de Jésus</w:t>
      </w:r>
      <w:r w:rsidRPr="006C6E10">
        <w:rPr>
          <w:b/>
        </w:rPr>
        <w:t xml:space="preserve"> (1946)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L'existence temporelle</w:t>
      </w:r>
      <w:r w:rsidRPr="006C6E10">
        <w:rPr>
          <w:b/>
        </w:rPr>
        <w:t xml:space="preserve"> (1949)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La Vierge Marie</w:t>
      </w:r>
      <w:r w:rsidRPr="006C6E10">
        <w:rPr>
          <w:b/>
        </w:rPr>
        <w:t xml:space="preserve"> (1949)</w:t>
      </w:r>
    </w:p>
    <w:p w:rsidR="006C6E10" w:rsidRPr="006C6E10" w:rsidRDefault="00AB124A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6" w:tooltip="Blaise Pascal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Pascal</w:t>
        </w:r>
      </w:hyperlink>
      <w:r w:rsidR="006C6E10" w:rsidRPr="006C6E10">
        <w:rPr>
          <w:b/>
          <w:i/>
          <w:iCs/>
        </w:rPr>
        <w:t xml:space="preserve"> et Leibniz</w:t>
      </w:r>
      <w:r w:rsidR="006C6E10" w:rsidRPr="006C6E10">
        <w:rPr>
          <w:b/>
        </w:rPr>
        <w:t xml:space="preserve"> (1951).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Le travail intellectuel</w:t>
      </w:r>
      <w:r w:rsidRPr="006C6E10">
        <w:rPr>
          <w:b/>
        </w:rPr>
        <w:t xml:space="preserve"> (1951)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Dialogues avec Monsieur Pouget</w:t>
      </w:r>
      <w:r w:rsidRPr="006C6E10">
        <w:rPr>
          <w:b/>
        </w:rPr>
        <w:t xml:space="preserve"> (1954)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Journal, études et rencontres</w:t>
      </w:r>
      <w:r w:rsidRPr="006C6E10">
        <w:rPr>
          <w:b/>
        </w:rPr>
        <w:t xml:space="preserve"> (1959 y 1968)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L'Église et l'Évangile</w:t>
      </w:r>
      <w:r w:rsidRPr="006C6E10">
        <w:rPr>
          <w:b/>
        </w:rPr>
        <w:t xml:space="preserve"> (1959)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La vocation de Bergson</w:t>
      </w:r>
      <w:r w:rsidRPr="006C6E10">
        <w:rPr>
          <w:b/>
        </w:rPr>
        <w:t xml:space="preserve"> (1960)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Regard sur le concile</w:t>
      </w:r>
      <w:r w:rsidRPr="006C6E10">
        <w:rPr>
          <w:b/>
        </w:rPr>
        <w:t xml:space="preserve"> (1962)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 xml:space="preserve">Génie de </w:t>
      </w:r>
      <w:hyperlink r:id="rId47" w:tooltip="Blaise Pascal" w:history="1">
        <w:r w:rsidRPr="006C6E10">
          <w:rPr>
            <w:rStyle w:val="Hipervnculo"/>
            <w:b/>
            <w:i/>
            <w:iCs/>
            <w:color w:val="auto"/>
            <w:u w:val="none"/>
          </w:rPr>
          <w:t>Pascal</w:t>
        </w:r>
      </w:hyperlink>
      <w:r w:rsidRPr="006C6E10">
        <w:rPr>
          <w:b/>
        </w:rPr>
        <w:t xml:space="preserve"> (1962)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L'Église et les laïcs</w:t>
      </w:r>
      <w:r w:rsidRPr="006C6E10">
        <w:rPr>
          <w:b/>
        </w:rPr>
        <w:t xml:space="preserve"> (1963)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Dialogues avec Paul VI</w:t>
      </w:r>
      <w:r w:rsidRPr="006C6E10">
        <w:rPr>
          <w:b/>
        </w:rPr>
        <w:t xml:space="preserve"> (1967)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Développement de la pensée occidentale</w:t>
      </w:r>
      <w:r w:rsidRPr="006C6E10">
        <w:rPr>
          <w:b/>
        </w:rPr>
        <w:t xml:space="preserve"> (1968)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Profils parallèles</w:t>
      </w:r>
      <w:r w:rsidRPr="006C6E10">
        <w:rPr>
          <w:b/>
        </w:rPr>
        <w:t xml:space="preserve"> (1970) </w:t>
      </w:r>
    </w:p>
    <w:p w:rsidR="006C6E10" w:rsidRPr="006C6E10" w:rsidRDefault="006C6E10" w:rsidP="006C6E10">
      <w:pPr>
        <w:widowControl/>
        <w:numPr>
          <w:ilvl w:val="1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Newman et Renan</w:t>
      </w:r>
    </w:p>
    <w:p w:rsidR="006C6E10" w:rsidRPr="006C6E10" w:rsidRDefault="00AB124A" w:rsidP="006C6E10">
      <w:pPr>
        <w:widowControl/>
        <w:numPr>
          <w:ilvl w:val="1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8" w:tooltip="Blaise Pascal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Pascal</w:t>
        </w:r>
      </w:hyperlink>
      <w:r w:rsidR="006C6E10" w:rsidRPr="006C6E10">
        <w:rPr>
          <w:b/>
          <w:i/>
          <w:iCs/>
        </w:rPr>
        <w:t xml:space="preserve"> et Leibniz</w:t>
      </w:r>
    </w:p>
    <w:p w:rsidR="006C6E10" w:rsidRPr="006C6E10" w:rsidRDefault="00AB124A" w:rsidP="006C6E10">
      <w:pPr>
        <w:widowControl/>
        <w:numPr>
          <w:ilvl w:val="1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9" w:tooltip="Pierre Teilhard de Chardin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Teilhard</w:t>
        </w:r>
      </w:hyperlink>
      <w:r w:rsidR="006C6E10" w:rsidRPr="006C6E10">
        <w:rPr>
          <w:b/>
          <w:i/>
          <w:iCs/>
        </w:rPr>
        <w:t xml:space="preserve"> et </w:t>
      </w:r>
      <w:hyperlink r:id="rId50" w:tooltip="Henri Bergson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Bergson</w:t>
        </w:r>
      </w:hyperlink>
    </w:p>
    <w:p w:rsidR="006C6E10" w:rsidRPr="006C6E10" w:rsidRDefault="00AB124A" w:rsidP="006C6E10">
      <w:pPr>
        <w:widowControl/>
        <w:numPr>
          <w:ilvl w:val="1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51" w:tooltip="Paul Claudel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Claudel</w:t>
        </w:r>
      </w:hyperlink>
      <w:r w:rsidR="006C6E10" w:rsidRPr="006C6E10">
        <w:rPr>
          <w:b/>
          <w:i/>
          <w:iCs/>
        </w:rPr>
        <w:t xml:space="preserve"> et </w:t>
      </w:r>
      <w:hyperlink r:id="rId52" w:tooltip="Martin Heidegger" w:history="1">
        <w:r w:rsidR="006C6E10" w:rsidRPr="006C6E10">
          <w:rPr>
            <w:rStyle w:val="Hipervnculo"/>
            <w:b/>
            <w:i/>
            <w:iCs/>
            <w:color w:val="auto"/>
            <w:u w:val="none"/>
          </w:rPr>
          <w:t>Heidegger</w:t>
        </w:r>
      </w:hyperlink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Ce que je crois</w:t>
      </w:r>
      <w:r w:rsidRPr="006C6E10">
        <w:rPr>
          <w:b/>
        </w:rPr>
        <w:t xml:space="preserve"> (1971)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6C6E10">
        <w:rPr>
          <w:b/>
          <w:i/>
          <w:iCs/>
          <w:lang w:val="en-US"/>
        </w:rPr>
        <w:t>Paul VI et l'Année sainte</w:t>
      </w:r>
      <w:r w:rsidRPr="006C6E10">
        <w:rPr>
          <w:b/>
          <w:lang w:val="en-US"/>
        </w:rPr>
        <w:t xml:space="preserve"> (1974)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Journal de ma vie</w:t>
      </w:r>
      <w:r w:rsidRPr="006C6E10">
        <w:rPr>
          <w:b/>
        </w:rPr>
        <w:t xml:space="preserve"> (1976)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Paul VI secret</w:t>
      </w:r>
      <w:r w:rsidRPr="006C6E10">
        <w:rPr>
          <w:b/>
        </w:rPr>
        <w:t xml:space="preserve"> (1980)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Œcuménisme</w:t>
      </w:r>
      <w:r w:rsidRPr="006C6E10">
        <w:rPr>
          <w:b/>
        </w:rPr>
        <w:t xml:space="preserve"> (1986)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Un siècle, une vie</w:t>
      </w:r>
      <w:r w:rsidRPr="006C6E10">
        <w:rPr>
          <w:b/>
        </w:rPr>
        <w:t xml:space="preserve"> (1988)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Dieu et la science</w:t>
      </w:r>
      <w:r w:rsidRPr="006C6E10">
        <w:rPr>
          <w:b/>
        </w:rPr>
        <w:t xml:space="preserve"> (con Igor y Grichka Bogdanoff), (1991)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 xml:space="preserve">Portrait du </w:t>
      </w:r>
      <w:hyperlink r:id="rId53" w:tooltip="Marie-Joseph Lagrange" w:history="1">
        <w:r w:rsidRPr="006C6E10">
          <w:rPr>
            <w:rStyle w:val="Hipervnculo"/>
            <w:b/>
            <w:i/>
            <w:iCs/>
            <w:color w:val="auto"/>
            <w:u w:val="none"/>
          </w:rPr>
          <w:t>père Lagrange</w:t>
        </w:r>
      </w:hyperlink>
      <w:r w:rsidRPr="006C6E10">
        <w:rPr>
          <w:b/>
        </w:rPr>
        <w:t xml:space="preserve"> (1992)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Celui qui croyait au ciel et celui qui n'y croyait pas</w:t>
      </w:r>
      <w:r w:rsidRPr="006C6E10">
        <w:rPr>
          <w:b/>
        </w:rPr>
        <w:t xml:space="preserve"> con (</w:t>
      </w:r>
      <w:hyperlink r:id="rId54" w:tooltip="Jacques Lanzman (aún no redactado)" w:history="1">
        <w:r w:rsidRPr="006C6E10">
          <w:rPr>
            <w:rStyle w:val="Hipervnculo"/>
            <w:b/>
            <w:color w:val="auto"/>
            <w:u w:val="none"/>
          </w:rPr>
          <w:t>Jacques Lanzman</w:t>
        </w:r>
      </w:hyperlink>
      <w:r w:rsidRPr="006C6E10">
        <w:rPr>
          <w:b/>
        </w:rPr>
        <w:t>, 1994)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Le siècle qui s'annonce</w:t>
      </w:r>
      <w:r w:rsidRPr="006C6E10">
        <w:rPr>
          <w:b/>
        </w:rPr>
        <w:t xml:space="preserve"> (1996)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Mon testament philosophique</w:t>
      </w:r>
      <w:r w:rsidR="00A80C2C">
        <w:rPr>
          <w:b/>
        </w:rPr>
        <w:t xml:space="preserve"> (1997</w:t>
      </w:r>
    </w:p>
    <w:p w:rsidR="006C6E10" w:rsidRPr="006C6E10" w:rsidRDefault="006C6E10" w:rsidP="006C6E10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6C6E10">
        <w:rPr>
          <w:b/>
          <w:i/>
          <w:iCs/>
        </w:rPr>
        <w:t>Ultima Verba</w:t>
      </w:r>
      <w:r w:rsidRPr="006C6E10">
        <w:rPr>
          <w:b/>
        </w:rPr>
        <w:t xml:space="preserve"> (1998,</w:t>
      </w:r>
      <w:r w:rsidR="00A80C2C">
        <w:rPr>
          <w:b/>
        </w:rPr>
        <w:t>)</w:t>
      </w:r>
    </w:p>
    <w:p w:rsidR="00B83BBF" w:rsidRPr="006C6E10" w:rsidRDefault="00B83BBF" w:rsidP="000360F1">
      <w:pPr>
        <w:jc w:val="both"/>
        <w:rPr>
          <w:b/>
        </w:rPr>
      </w:pPr>
    </w:p>
    <w:sectPr w:rsidR="00B83BBF" w:rsidRPr="006C6E10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9AC" w:rsidRDefault="007F29AC" w:rsidP="005661D3">
      <w:r>
        <w:separator/>
      </w:r>
    </w:p>
  </w:endnote>
  <w:endnote w:type="continuationSeparator" w:id="0">
    <w:p w:rsidR="007F29AC" w:rsidRDefault="007F29AC" w:rsidP="00566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9AC" w:rsidRDefault="007F29AC" w:rsidP="005661D3">
      <w:r>
        <w:separator/>
      </w:r>
    </w:p>
  </w:footnote>
  <w:footnote w:type="continuationSeparator" w:id="0">
    <w:p w:rsidR="007F29AC" w:rsidRDefault="007F29AC" w:rsidP="00566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0674"/>
    <w:multiLevelType w:val="multilevel"/>
    <w:tmpl w:val="9BD0E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713F7"/>
    <w:multiLevelType w:val="multilevel"/>
    <w:tmpl w:val="44F4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382C3C"/>
    <w:multiLevelType w:val="multilevel"/>
    <w:tmpl w:val="4BB2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77CFE"/>
    <w:multiLevelType w:val="multilevel"/>
    <w:tmpl w:val="EF5E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64774"/>
    <w:multiLevelType w:val="multilevel"/>
    <w:tmpl w:val="E844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C6013"/>
    <w:multiLevelType w:val="multilevel"/>
    <w:tmpl w:val="F45C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D3211A"/>
    <w:multiLevelType w:val="multilevel"/>
    <w:tmpl w:val="22D0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11"/>
  </w:num>
  <w:num w:numId="8">
    <w:abstractNumId w:val="12"/>
  </w:num>
  <w:num w:numId="9">
    <w:abstractNumId w:val="3"/>
  </w:num>
  <w:num w:numId="10">
    <w:abstractNumId w:val="6"/>
  </w:num>
  <w:num w:numId="11">
    <w:abstractNumId w:val="0"/>
  </w:num>
  <w:num w:numId="12">
    <w:abstractNumId w:val="2"/>
  </w:num>
  <w:num w:numId="13">
    <w:abstractNumId w:val="8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274"/>
    <w:rsid w:val="000000DA"/>
    <w:rsid w:val="000012F1"/>
    <w:rsid w:val="00005730"/>
    <w:rsid w:val="000103EC"/>
    <w:rsid w:val="00010C35"/>
    <w:rsid w:val="00012025"/>
    <w:rsid w:val="000210AD"/>
    <w:rsid w:val="00025B01"/>
    <w:rsid w:val="0003530E"/>
    <w:rsid w:val="000360F1"/>
    <w:rsid w:val="000367C0"/>
    <w:rsid w:val="00055B95"/>
    <w:rsid w:val="00056A7D"/>
    <w:rsid w:val="00066ADA"/>
    <w:rsid w:val="000824EF"/>
    <w:rsid w:val="00097A1B"/>
    <w:rsid w:val="000A5651"/>
    <w:rsid w:val="000B4517"/>
    <w:rsid w:val="000D5630"/>
    <w:rsid w:val="000E2D55"/>
    <w:rsid w:val="000E31F4"/>
    <w:rsid w:val="0012649F"/>
    <w:rsid w:val="00143460"/>
    <w:rsid w:val="00151A2E"/>
    <w:rsid w:val="001622EA"/>
    <w:rsid w:val="0016415A"/>
    <w:rsid w:val="00175E97"/>
    <w:rsid w:val="001768D4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12AE6"/>
    <w:rsid w:val="00326E69"/>
    <w:rsid w:val="00352CB8"/>
    <w:rsid w:val="00367B70"/>
    <w:rsid w:val="003823D0"/>
    <w:rsid w:val="00397FDC"/>
    <w:rsid w:val="003B1330"/>
    <w:rsid w:val="003B1580"/>
    <w:rsid w:val="003D6355"/>
    <w:rsid w:val="003F7991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A2FEE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C42EE"/>
    <w:rsid w:val="005E3DA3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C6E10"/>
    <w:rsid w:val="006E5EF5"/>
    <w:rsid w:val="006F42C9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B128A"/>
    <w:rsid w:val="007E3C2D"/>
    <w:rsid w:val="007E6135"/>
    <w:rsid w:val="007F29AC"/>
    <w:rsid w:val="00804CDD"/>
    <w:rsid w:val="00811DF0"/>
    <w:rsid w:val="008135F3"/>
    <w:rsid w:val="00835BE8"/>
    <w:rsid w:val="008438E6"/>
    <w:rsid w:val="008563AA"/>
    <w:rsid w:val="00864A6E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1D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67153"/>
    <w:rsid w:val="00A701AB"/>
    <w:rsid w:val="00A80C2C"/>
    <w:rsid w:val="00A83259"/>
    <w:rsid w:val="00A92197"/>
    <w:rsid w:val="00A94500"/>
    <w:rsid w:val="00AB023A"/>
    <w:rsid w:val="00AB124A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81AED"/>
    <w:rsid w:val="00B83BBF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B2A49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5927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47F51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5402C"/>
  <w15:docId w15:val="{224045FF-F6E9-4D28-8C82-92A835A9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kidata-link">
    <w:name w:val="wikidata-link"/>
    <w:basedOn w:val="Fuentedeprrafopredeter"/>
    <w:rsid w:val="006C6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1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Par%C3%ADs" TargetMode="External"/><Relationship Id="rId18" Type="http://schemas.openxmlformats.org/officeDocument/2006/relationships/hyperlink" Target="https://es.wikipedia.org/wiki/Francia" TargetMode="External"/><Relationship Id="rId26" Type="http://schemas.openxmlformats.org/officeDocument/2006/relationships/hyperlink" Target="https://es.wikipedia.org/wiki/Agust%C3%ADn_de_Hipona" TargetMode="External"/><Relationship Id="rId39" Type="http://schemas.openxmlformats.org/officeDocument/2006/relationships/hyperlink" Target="https://es.wikipedia.org/wiki/L%C3%A9on_B%C3%A9rard" TargetMode="External"/><Relationship Id="rId21" Type="http://schemas.openxmlformats.org/officeDocument/2006/relationships/hyperlink" Target="https://es.wikipedia.org/wiki/Economista" TargetMode="External"/><Relationship Id="rId34" Type="http://schemas.openxmlformats.org/officeDocument/2006/relationships/hyperlink" Target="https://es.wikipedia.org/wiki/Apolog%C3%A9tica" TargetMode="External"/><Relationship Id="rId42" Type="http://schemas.openxmlformats.org/officeDocument/2006/relationships/hyperlink" Target="https://es.wikipedia.org/wiki/Gottfried_Wilhelm_von_Leibniz" TargetMode="External"/><Relationship Id="rId47" Type="http://schemas.openxmlformats.org/officeDocument/2006/relationships/hyperlink" Target="https://es.wikipedia.org/wiki/Blaise_Pascal" TargetMode="External"/><Relationship Id="rId50" Type="http://schemas.openxmlformats.org/officeDocument/2006/relationships/hyperlink" Target="https://es.wikipedia.org/wiki/Henri_Bergson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Fil%C3%B3sofo" TargetMode="External"/><Relationship Id="rId29" Type="http://schemas.openxmlformats.org/officeDocument/2006/relationships/hyperlink" Target="https://es.wikipedia.org/wiki/Segunda_Guerra_Mundial" TargetMode="External"/><Relationship Id="rId11" Type="http://schemas.openxmlformats.org/officeDocument/2006/relationships/hyperlink" Target="https://es.wikipedia.org/wiki/18_de_agosto" TargetMode="External"/><Relationship Id="rId24" Type="http://schemas.openxmlformats.org/officeDocument/2006/relationships/hyperlink" Target="https://es.wikipedia.org/wiki/1933" TargetMode="External"/><Relationship Id="rId32" Type="http://schemas.openxmlformats.org/officeDocument/2006/relationships/hyperlink" Target="https://es.wikipedia.org/wiki/Concilio_Vaticano_II" TargetMode="External"/><Relationship Id="rId37" Type="http://schemas.openxmlformats.org/officeDocument/2006/relationships/hyperlink" Target="https://es.wikipedia.org/wiki/1961" TargetMode="External"/><Relationship Id="rId40" Type="http://schemas.openxmlformats.org/officeDocument/2006/relationships/hyperlink" Target="https://es.wikipedia.org/wiki/1987" TargetMode="External"/><Relationship Id="rId45" Type="http://schemas.openxmlformats.org/officeDocument/2006/relationships/hyperlink" Target="https://es.wikipedia.org/wiki/Alfred_Loisy" TargetMode="External"/><Relationship Id="rId53" Type="http://schemas.openxmlformats.org/officeDocument/2006/relationships/hyperlink" Target="https://es.wikipedia.org/wiki/Marie-Joseph_Lagrang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s.wikipedia.org/wiki/Saint-%C3%89tienne" TargetMode="External"/><Relationship Id="rId19" Type="http://schemas.openxmlformats.org/officeDocument/2006/relationships/hyperlink" Target="https://es.wikipedia.org/wiki/Catolicismo" TargetMode="External"/><Relationship Id="rId31" Type="http://schemas.openxmlformats.org/officeDocument/2006/relationships/hyperlink" Target="https://es.wikipedia.org/wiki/Juan_XXIII" TargetMode="External"/><Relationship Id="rId44" Type="http://schemas.openxmlformats.org/officeDocument/2006/relationships/hyperlink" Target="https://es.wikipedia.org/wiki/Ernest_Renan" TargetMode="External"/><Relationship Id="rId52" Type="http://schemas.openxmlformats.org/officeDocument/2006/relationships/hyperlink" Target="https://es.wikipedia.org/wiki/Martin_Heidegg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s.wikipedia.org/wiki/21_de_marzo" TargetMode="External"/><Relationship Id="rId22" Type="http://schemas.openxmlformats.org/officeDocument/2006/relationships/hyperlink" Target="https://es.wikipedia.org/wiki/1920" TargetMode="External"/><Relationship Id="rId27" Type="http://schemas.openxmlformats.org/officeDocument/2006/relationships/hyperlink" Target="https://es.wikipedia.org/wiki/Universidad_de_Montpellier" TargetMode="External"/><Relationship Id="rId30" Type="http://schemas.openxmlformats.org/officeDocument/2006/relationships/hyperlink" Target="https://es.wikipedia.org/wiki/Pablo_VI" TargetMode="External"/><Relationship Id="rId35" Type="http://schemas.openxmlformats.org/officeDocument/2006/relationships/hyperlink" Target="https://es.wikipedia.org/wiki/Siglo_XX" TargetMode="External"/><Relationship Id="rId43" Type="http://schemas.openxmlformats.org/officeDocument/2006/relationships/hyperlink" Target="https://es.wikipedia.org/wiki/John_Henry_Newman" TargetMode="External"/><Relationship Id="rId48" Type="http://schemas.openxmlformats.org/officeDocument/2006/relationships/hyperlink" Target="https://es.wikipedia.org/wiki/Blaise_Pascal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Paul_Claudel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901" TargetMode="External"/><Relationship Id="rId17" Type="http://schemas.openxmlformats.org/officeDocument/2006/relationships/hyperlink" Target="https://es.wikipedia.org/wiki/Escritor" TargetMode="External"/><Relationship Id="rId25" Type="http://schemas.openxmlformats.org/officeDocument/2006/relationships/hyperlink" Target="https://es.wikipedia.org/wiki/Plotino" TargetMode="External"/><Relationship Id="rId33" Type="http://schemas.openxmlformats.org/officeDocument/2006/relationships/hyperlink" Target="https://es.wikipedia.org/wiki/Laico_(religi%C3%B3n)" TargetMode="External"/><Relationship Id="rId38" Type="http://schemas.openxmlformats.org/officeDocument/2006/relationships/hyperlink" Target="https://es.wikipedia.org/wiki/Academia_francesa" TargetMode="External"/><Relationship Id="rId46" Type="http://schemas.openxmlformats.org/officeDocument/2006/relationships/hyperlink" Target="https://es.wikipedia.org/wiki/Blaise_Pascal" TargetMode="External"/><Relationship Id="rId20" Type="http://schemas.openxmlformats.org/officeDocument/2006/relationships/hyperlink" Target="https://es.wikipedia.org/w/index.php?title=Henri_Guitton&amp;action=edit&amp;redlink=1" TargetMode="External"/><Relationship Id="rId41" Type="http://schemas.openxmlformats.org/officeDocument/2006/relationships/hyperlink" Target="https://es.wikipedia.org/w/index.php?title=Ferdinand_Alqui%C3%A9&amp;action=edit&amp;redlink=1" TargetMode="External"/><Relationship Id="rId54" Type="http://schemas.openxmlformats.org/officeDocument/2006/relationships/hyperlink" Target="https://es.wikipedia.org/w/index.php?title=Jacques_Lanzman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wikipedia.org/wiki/1999" TargetMode="External"/><Relationship Id="rId23" Type="http://schemas.openxmlformats.org/officeDocument/2006/relationships/hyperlink" Target="https://es.wikipedia.org/wiki/1923" TargetMode="External"/><Relationship Id="rId28" Type="http://schemas.openxmlformats.org/officeDocument/2006/relationships/hyperlink" Target="https://es.wikipedia.org/wiki/1937" TargetMode="External"/><Relationship Id="rId36" Type="http://schemas.openxmlformats.org/officeDocument/2006/relationships/hyperlink" Target="https://es.wikipedia.org/wiki/8_de_junio" TargetMode="External"/><Relationship Id="rId49" Type="http://schemas.openxmlformats.org/officeDocument/2006/relationships/hyperlink" Target="https://es.wikipedia.org/wiki/Pierre_Teilhard_de_Chardi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1D8D3-78FA-4F78-94E0-69D2ABE08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1238</Words>
  <Characters>6814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jucaplpe</cp:lastModifiedBy>
  <cp:revision>3</cp:revision>
  <cp:lastPrinted>2019-01-15T14:28:00Z</cp:lastPrinted>
  <dcterms:created xsi:type="dcterms:W3CDTF">2019-07-17T14:17:00Z</dcterms:created>
  <dcterms:modified xsi:type="dcterms:W3CDTF">2019-07-30T10:09:00Z</dcterms:modified>
</cp:coreProperties>
</file>