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CB" w:rsidRPr="0088356D" w:rsidRDefault="009552CB" w:rsidP="0088356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</w:pPr>
      <w:proofErr w:type="spellStart"/>
      <w:r w:rsidRPr="0088356D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>Réginald</w:t>
      </w:r>
      <w:proofErr w:type="spellEnd"/>
      <w:r w:rsidRPr="0088356D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 xml:space="preserve"> </w:t>
      </w:r>
      <w:proofErr w:type="spellStart"/>
      <w:r w:rsidRPr="0088356D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>Garrigou-</w:t>
      </w:r>
      <w:proofErr w:type="gramStart"/>
      <w:r w:rsidRPr="0088356D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>Lagrange</w:t>
      </w:r>
      <w:proofErr w:type="spellEnd"/>
      <w:r w:rsidR="008E1D16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 xml:space="preserve">  *</w:t>
      </w:r>
      <w:proofErr w:type="gramEnd"/>
      <w:r w:rsidR="008E1D16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 xml:space="preserve"> </w:t>
      </w:r>
      <w:r w:rsidR="002350CA" w:rsidRPr="0088356D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 xml:space="preserve"> 1877-1964</w:t>
      </w:r>
    </w:p>
    <w:p w:rsidR="009552CB" w:rsidRPr="009552CB" w:rsidRDefault="0088356D" w:rsidP="008835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s-ES"/>
        </w:rPr>
        <w:drawing>
          <wp:inline distT="0" distB="0" distL="0" distR="0">
            <wp:extent cx="2018998" cy="2981325"/>
            <wp:effectExtent l="19050" t="0" r="302" b="0"/>
            <wp:docPr id="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543" t="33257" r="4586" b="30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98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6D" w:rsidRPr="00BB0DB6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   Los hombres cultos siempre impresionan y suscitan el deseo de saber lo 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q</w:t>
      </w:r>
      <w:r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ue pi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e</w:t>
      </w:r>
      <w:r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nsan. El catequista no es un investigador, sino un mensaje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ro</w:t>
      </w:r>
      <w:r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que anuncia el Reino de Dios. Pero tiene que ser curioso 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ante </w:t>
      </w:r>
      <w:r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lo </w:t>
      </w:r>
      <w:r w:rsidR="00FD28FE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q</w:t>
      </w:r>
      <w:r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ue dicen y piensan los 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intelectuales en m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a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terias religiosas. Este dominico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,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sorp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r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e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n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de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n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te por su fecun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d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idad como profesor universitari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o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también merece admiración. S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ó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lo el título de sus </w:t>
      </w:r>
      <w:proofErr w:type="gramStart"/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libr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os  marca</w:t>
      </w:r>
      <w:proofErr w:type="gramEnd"/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una 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invitación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a la curiosidad de muchos de los cate</w:t>
      </w:r>
      <w:r w:rsid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q</w:t>
      </w:r>
      <w:r w:rsidR="00BB0DB6" w:rsidRPr="00BB0DB6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uistas</w:t>
      </w:r>
      <w:r w:rsidR="00FD28FE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.</w:t>
      </w:r>
    </w:p>
    <w:p w:rsidR="0088356D" w:rsidRP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9552CB" w:rsidRDefault="00BB0DB6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D28F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</w:t>
      </w:r>
      <w:r w:rsidR="009552CB" w:rsidRPr="0088356D"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Réginald Garrigou-Lagrange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O.P. (n. </w:t>
      </w:r>
      <w:hyperlink r:id="rId6" w:tooltip="Auch" w:history="1"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Auch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7" w:tooltip="Franci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</w:t>
      </w:r>
      <w:hyperlink r:id="rId8" w:tooltip="21 de febrer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21 de febrero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9" w:tooltip="1877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1877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- </w:t>
      </w:r>
      <w:hyperlink r:id="rId10" w:tooltip="Rom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Roma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</w:t>
      </w:r>
      <w:hyperlink r:id="rId11" w:tooltip="15 de febrer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15 de febrero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12" w:tooltip="1964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1964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fue un </w:t>
      </w:r>
      <w:hyperlink r:id="rId13" w:tooltip="Dominic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dominico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francés, </w:t>
      </w:r>
      <w:hyperlink r:id="rId14" w:tooltip="Teólog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teólogo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hyperlink r:id="rId15" w:tooltip="Filósof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filósofo</w:t>
        </w:r>
      </w:hyperlink>
      <w:r w:rsidR="0088356D">
        <w:rPr>
          <w:rFonts w:ascii="Arial" w:hAnsi="Arial" w:cs="Arial"/>
          <w:b/>
          <w:sz w:val="24"/>
          <w:szCs w:val="24"/>
        </w:rPr>
        <w:t xml:space="preserve"> cuya actividad y prestigio le convirtieron en referencia intere</w:t>
      </w:r>
      <w:r w:rsidR="008E1D16">
        <w:rPr>
          <w:rFonts w:ascii="Arial" w:hAnsi="Arial" w:cs="Arial"/>
          <w:b/>
          <w:sz w:val="24"/>
          <w:szCs w:val="24"/>
        </w:rPr>
        <w:t>s</w:t>
      </w:r>
      <w:r w:rsidR="0088356D">
        <w:rPr>
          <w:rFonts w:ascii="Arial" w:hAnsi="Arial" w:cs="Arial"/>
          <w:b/>
          <w:sz w:val="24"/>
          <w:szCs w:val="24"/>
        </w:rPr>
        <w:t>ante de la Teolog</w:t>
      </w:r>
      <w:r w:rsidR="008E1D16">
        <w:rPr>
          <w:rFonts w:ascii="Arial" w:hAnsi="Arial" w:cs="Arial"/>
          <w:b/>
          <w:sz w:val="24"/>
          <w:szCs w:val="24"/>
        </w:rPr>
        <w:t>í</w:t>
      </w:r>
      <w:bookmarkStart w:id="0" w:name="_GoBack"/>
      <w:bookmarkEnd w:id="0"/>
      <w:r w:rsidR="0088356D">
        <w:rPr>
          <w:rFonts w:ascii="Arial" w:hAnsi="Arial" w:cs="Arial"/>
          <w:b/>
          <w:sz w:val="24"/>
          <w:szCs w:val="24"/>
        </w:rPr>
        <w:t>a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88356D" w:rsidRP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9552CB" w:rsidRDefault="009552CB" w:rsidP="0088356D">
      <w:pPr>
        <w:spacing w:after="0" w:line="240" w:lineRule="auto"/>
        <w:ind w:right="-994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8356D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Biografía</w:t>
      </w:r>
    </w:p>
    <w:p w:rsidR="0088356D" w:rsidRPr="0088356D" w:rsidRDefault="0088356D" w:rsidP="0088356D">
      <w:pPr>
        <w:spacing w:after="0" w:line="240" w:lineRule="auto"/>
        <w:ind w:right="-994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9552CB" w:rsidRP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Después de estudiar Humanidades en </w:t>
      </w:r>
      <w:hyperlink r:id="rId16" w:tooltip="La Roche-sur-Yon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La Roche-sur-</w:t>
        </w:r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Yon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-</w:t>
      </w:r>
      <w:hyperlink r:id="rId17" w:tooltip="Vendée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Vendée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-, en </w:t>
      </w:r>
      <w:hyperlink r:id="rId18" w:tooltip="Nantes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Nantes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</w:t>
      </w:r>
      <w:hyperlink r:id="rId19" w:tooltip="Tarbes" w:history="1"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Tarbes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eligió la carrera de Medicina. Mientras la cursaba en </w:t>
      </w:r>
      <w:hyperlink r:id="rId20" w:tooltip="Burdeos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Burdeos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1897, leyó el libro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L'Homme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21" w:tooltip="Ernest Hello (aún no redactado)" w:history="1"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Ernest</w:t>
        </w:r>
        <w:proofErr w:type="spellEnd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Hello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lo que provocó la decisión fundamental de su vida: abrazar el estado </w:t>
      </w:r>
      <w:hyperlink r:id="rId22" w:tooltip="Clero regular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religioso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Novicio </w:t>
      </w:r>
      <w:hyperlink r:id="rId23" w:tooltip="Dominic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dominico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</w:t>
      </w:r>
      <w:hyperlink r:id="rId24" w:tooltip="Amiens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Amiens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25" w:tooltip="Ambroise Gardeil" w:history="1"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Ambroise</w:t>
        </w:r>
        <w:proofErr w:type="spellEnd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Gardeil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 orientó hacia el tomismo; para perfeccionar su formación intelectual, lo envió a la </w:t>
      </w:r>
      <w:hyperlink r:id="rId26" w:tooltip="Sorbon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Sorbona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Más tarde viajó a Viena, frecuentó algunos meses la </w:t>
      </w:r>
      <w:hyperlink r:id="rId27" w:tooltip="Universidad de Friburgo (Suiza)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 de Friburgo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–donde conoció a </w:t>
      </w:r>
      <w:hyperlink r:id="rId28" w:tooltip="Norberto del Prad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Norberto del Prado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teólogo que lo impresionó profundamente– y en 1905 entró a formar parte del equipo de profesores de </w:t>
      </w:r>
      <w:hyperlink r:id="rId29" w:tooltip="Le Saulchoir (aún no redactado)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Le </w:t>
        </w:r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Saulchoir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552CB" w:rsidRP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1909, al abrirse el </w:t>
      </w:r>
      <w:hyperlink r:id="rId30" w:tooltip="Angelicum" w:history="1"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Angelicum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Ateneo Pontificio, hoy </w:t>
      </w:r>
      <w:hyperlink r:id="rId31" w:tooltip="Universidad Pontificia de Santo Tomás de Aquin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 Pontificia de Santo Tomás de Aquino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compartió con </w:t>
      </w:r>
      <w:hyperlink r:id="rId32" w:tooltip="Jesús G. Arintero (aún no redactado)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Jesús G. </w:t>
        </w:r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Arintero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cátedra de Teología Fundamental, explicando el tratado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De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revelatione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Pasó más tarde a la cátedra de </w:t>
      </w:r>
      <w:hyperlink r:id="rId33" w:tooltip="Teología dogmátic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teología dogmática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dio cursos sobre la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Metafísica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34" w:tooltip="Aristóteles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Aristóteles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escribió libros. Consagró 50 años a clases y publicaciones, alternando los trabajos profesorales con el servicio a la </w:t>
      </w:r>
      <w:hyperlink r:id="rId35" w:tooltip="Santa Sede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Santa Sede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calidad de teólogo y con el ministerio pastoral. Se jubiló en 1960, y murió el 15 de febrero de 1964 en </w:t>
      </w:r>
      <w:hyperlink r:id="rId36" w:tooltip="Rom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Roma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88356D" w:rsidRPr="0088356D" w:rsidRDefault="0088356D" w:rsidP="0088356D">
      <w:pPr>
        <w:spacing w:after="0" w:line="240" w:lineRule="auto"/>
        <w:ind w:right="-994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</w:p>
    <w:p w:rsidR="009552CB" w:rsidRPr="0088356D" w:rsidRDefault="009552CB" w:rsidP="0088356D">
      <w:pPr>
        <w:spacing w:after="0" w:line="240" w:lineRule="auto"/>
        <w:ind w:right="-994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88356D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lastRenderedPageBreak/>
        <w:t>Obras y doctrina</w:t>
      </w:r>
      <w:r w:rsidR="00FD28FE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s</w:t>
      </w: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552CB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mayor parte de la producción escrita de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fruto de la enseñanza académica y, por tanto, refleja los rasgos típicos de su pedagogía escolar. Escritas originalmente en latín y en francés, sus obras obtuvieron traducciones al alemán, español, inglés, italiano y polaco. Aun dentro de la unidad interna de su contenido ideológico, su obra escrita abarca cuatro extensos ramos: </w:t>
      </w:r>
      <w:hyperlink r:id="rId37" w:tooltip="Apologétic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Apologética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38" w:tooltip="Filosofí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Filosofía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39" w:tooltip="Teología dogmátic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Teología dogmática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hyperlink r:id="rId40" w:tooltip="Espiritualidad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Espiritualidad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BB0DB6" w:rsidRPr="0088356D" w:rsidRDefault="00BB0DB6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552CB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8356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  </w:t>
      </w:r>
      <w:r w:rsidR="009552CB" w:rsidRPr="0088356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En </w:t>
      </w:r>
      <w:r w:rsidR="009552CB" w:rsidRPr="0088356D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Apologética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 obra máxima es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De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Revelatione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2 vol., manual clásico, que vio la luz en 1918 (4 ed. Roma, 1945). Situado entre el mundo de la razón y el de la fe (cfr. S.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Giuliani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Apologeta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, «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Angelicum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» 42, 1965, 117-136),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expuso los motivos de credibilidad de las verdades reveladas. La obra comprende dos partes: una sobre la necesidad y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cognoscibilidad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</w:t>
      </w:r>
      <w:hyperlink r:id="rId41" w:tooltip="Revelación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Revelación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otra sobre su existencia. </w:t>
      </w:r>
    </w:p>
    <w:p w:rsidR="0088356D" w:rsidRP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552CB" w:rsidRPr="0088356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En </w:t>
      </w:r>
      <w:r w:rsidR="009552CB" w:rsidRPr="0088356D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Filosofía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pertenece a la </w:t>
      </w:r>
      <w:hyperlink r:id="rId42" w:tooltip="Neoescolástica" w:history="1"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Neoescolástica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impulsada por la encíclica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Aeterni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Patris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(1879) de </w:t>
      </w:r>
      <w:hyperlink r:id="rId43" w:tooltip="León XIII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León XIII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Desde joven descubrió cuál iba a ser su itinerario filosófico: desvelar y debelar los riesgos del </w:t>
      </w:r>
      <w:hyperlink r:id="rId44" w:tooltip="Inmanentism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inmanentismo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modernista de </w:t>
      </w:r>
      <w:hyperlink r:id="rId45" w:tooltip="Bergson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Bergson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hyperlink r:id="rId46" w:tooltip="Édouard Le Roy" w:history="1"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Édouard</w:t>
        </w:r>
        <w:proofErr w:type="spellEnd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Le Roy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apoyándose en el </w:t>
      </w:r>
      <w:hyperlink r:id="rId47" w:tooltip="Realismo filosófic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realismo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crítica y ontología tomistas como base de una teología natural del ser que se proyecta a la demostración de la existencia y naturaleza de Dios.</w:t>
      </w: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 primer escrito, de 1904, es una nota sobre la prueba de la existencia de Dios por los grados del ser; en 1907 insiste en un ensayo sobre el panteísmo de la «nueva filosofía» y las pruebas de la trascendencia de Dios; en 1909 publica en París el libro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Le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sens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commun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, la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philosophie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de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l'être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et les formules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dogmatiques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(El sentido común, la filosofía del ser y las fórmulas dogmáticas, 3ª ed. Buenos Aires, 1944).</w:t>
      </w: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B0DB6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es, ante todo, un temperamento metafísico, un defensor del ser frente al fenómeno (cfr. el cap. «El verbo ser, su profundo sentido y su alcance» en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El sentido del misterio y el claroscuro intelectual</w:t>
      </w:r>
      <w:r w:rsidR="00BB0DB6">
        <w:rPr>
          <w:rFonts w:ascii="Arial" w:eastAsia="Times New Roman" w:hAnsi="Arial" w:cs="Arial"/>
          <w:b/>
          <w:sz w:val="24"/>
          <w:szCs w:val="24"/>
          <w:lang w:eastAsia="es-ES"/>
        </w:rPr>
        <w:t>, Buenos Aires, 1945, pp. 61-84.</w:t>
      </w:r>
    </w:p>
    <w:p w:rsidR="00BB0DB6" w:rsidRDefault="00BB0DB6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B0DB6" w:rsidRDefault="00BB0DB6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Le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sens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du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mystére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et le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clair-obscur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inteleectuel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Paris, 1934); el </w:t>
      </w:r>
      <w:hyperlink r:id="rId48" w:tooltip="Sentido común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sentido común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puerta de acceso al </w:t>
      </w:r>
      <w:hyperlink r:id="rId49" w:tooltip="Ser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ser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hyperlink r:id="rId50" w:tooltip="Crític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Crítica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); éste, encontrado en su realidad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extramental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, descubre sus estratos a través de su estructura profunda (</w:t>
      </w:r>
      <w:hyperlink r:id="rId51" w:tooltip="Ontologí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Ontología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); el proceso termina en Dios, el Ser por antonomasia, meta de toda la filosofía de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B0DB6" w:rsidRDefault="00BB0DB6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552CB" w:rsidRDefault="00BB0DB6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Dieu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, son existente et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sa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nature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París, 1914 (Dios, su existencia y su naturaleza);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Dios al alcance de todos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(Barcelona, 1942);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Dios. La naturaleza de Dios. Solución de las antinomias agnósticas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(Buenos Aires, 1950) son hitos de su legado filosófico (cfr. A. Lobato,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Itinerario filosófico de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, «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Angelicum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» 42, 1965). </w:t>
      </w:r>
    </w:p>
    <w:p w:rsidR="0088356D" w:rsidRP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9552CB" w:rsidRPr="0088356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Como profesor de </w:t>
      </w:r>
      <w:r w:rsidR="009552CB" w:rsidRPr="0088356D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Teología dogmática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sigue la </w:t>
      </w:r>
      <w:hyperlink r:id="rId52" w:tooltip="Summa Theologiae" w:history="1">
        <w:proofErr w:type="spellStart"/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Summa</w:t>
        </w:r>
        <w:proofErr w:type="spellEnd"/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 xml:space="preserve"> </w:t>
        </w:r>
        <w:proofErr w:type="spellStart"/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Theologiae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es «su» libro; seis tomos de comentarios, de corte clásico, ayudándose en el </w:t>
      </w:r>
      <w:hyperlink r:id="rId53" w:tooltip="Cardenal Cayetan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cardenal Cayetano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hyperlink r:id="rId54" w:tooltip="Juan de Santo Tomás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de Santo Tomás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una serie innumerable de artículos y algunas «obras mayores» son índice de su fidelidad al </w:t>
      </w:r>
      <w:hyperlink r:id="rId55" w:tooltip="Neotomism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neotomismo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al mismo tiempo que revelan las cualidades peculiares del autor: defensa y exposición de la doctrina del «Doctor Común», descubrimiento y ataque del </w:t>
      </w:r>
      <w:hyperlink r:id="rId56" w:tooltip="Inmanentism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inmanentismo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8356D" w:rsidRDefault="009552CB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9552CB" w:rsidRP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modernismo es un enemigo que no muere. Basta recordar su grito de alarma en 1946: </w:t>
      </w:r>
      <w:proofErr w:type="gram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La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nouvelle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théologie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,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où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va-t-elle?</w:t>
      </w:r>
      <w:proofErr w:type="gram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(«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Angelicum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», 23, 1946, pp. 126-145). La encíclica </w:t>
      </w:r>
      <w:hyperlink r:id="rId57" w:tooltip="Humani generis" w:history="1">
        <w:proofErr w:type="spellStart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Humani</w:t>
        </w:r>
        <w:proofErr w:type="spellEnd"/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generis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(1950) de </w:t>
      </w:r>
      <w:hyperlink r:id="rId58" w:tooltip="Pío XII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Pío XII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ratificó muchas de las tesis por las que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había luchado. Otro tema que cultivó con atención fue el de la </w:t>
      </w:r>
      <w:hyperlink r:id="rId59" w:tooltip="Gracia divina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gracia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</w:t>
      </w:r>
      <w:hyperlink r:id="rId60" w:tooltip="Predestinación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predestinación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. También en este campo se muestra inflexible con el «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neo</w:t>
      </w:r>
      <w:hyperlink r:id="rId61" w:tooltip="Molinismo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molinismo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» y la teoría de </w:t>
      </w:r>
      <w:hyperlink r:id="rId62" w:tooltip="Marín-Sola (aún no redactado)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Marín-Sola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poniendo de relieve su garra polémica y su entronque con el tomismo español del siglo XVI. </w:t>
      </w: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88356D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En Espiritualidad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Donde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destacó más fue en el campo de la </w:t>
      </w:r>
      <w:r w:rsidR="009552CB" w:rsidRPr="008835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Espiritualidad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En 1909 leyó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La evolución mística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Arintero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lo que ejerció en él un influjo parejo al libro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L'Homme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El proselitismo de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Arintero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ganó en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su más valioso discípulo. </w:t>
      </w: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 declara: «Tuvo en mí gran influencia y me aclaró importantes puntos, que traté de exponer en seguida según la doctrina de Santo Tomás» (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Evolución mística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Madrid 1952, L-LI). En 1917 abrió una cátedra de Ascética y Mística, la primera de esta disciplina en una Facultad eclesiástica y la última que abandonara, en 1960. </w:t>
      </w: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1919 alentó la fundación de la revista «La vie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spirituelle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» y se convirtió en principal redactor; en 1923 reunió sus lecciones y artículos en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Perfection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chrétienne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et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contemplation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selon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S. Thomas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d'Aquin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et S. Jean de la Croix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Sant-Maximin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2 vol.), obra representativa, polémica a grandes trozos, en la que trata de armonizar la teología ontológica de la gracia con las descripciones psicológicas de </w:t>
      </w:r>
      <w:hyperlink r:id="rId63" w:tooltip="San Juan de la Cruz" w:history="1"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Juan de la Cruz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de proseguir, desde el ángulo tomista, la ruta abierta por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Arintero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Teología Espiritual. </w:t>
      </w:r>
    </w:p>
    <w:p w:rsidR="00BB0DB6" w:rsidRDefault="00BB0DB6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B0DB6" w:rsidRPr="00BB0DB6" w:rsidRDefault="00BB0DB6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BB0DB6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Valor de esta admirada figura</w:t>
      </w: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Garrigou-Lagrange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luchó por las ideas de unidad de la vida cristiana, por el concepto de mística como desarrollo normal de la vida cristiana, por la vocación de todos los cristianos a la perfección, etc. Tesis </w:t>
      </w:r>
      <w:proofErr w:type="spellStart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arinterianas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había que remozar a fuerza de esclarecer principios «tradicionales» olvidados y enturbiados en los últimos siglos. Prosiguió ese camino y fueron apareciendo nuevas obras, culminando con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Les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trois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âges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gram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 la vie</w:t>
      </w:r>
      <w:proofErr w:type="gram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intérieure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2 vol. París, 1938 (trad. esp. </w:t>
      </w:r>
    </w:p>
    <w:p w:rsid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D28FE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Las tres edades de la vida interior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2 vol. trad. esp. Buenos Aires, 1945), en la que, limando al máximo las aristas polémicas, expone los principios comúnmente admitidos. Como en su itinerario filosófico, también aquí apunta a Dios, pues la vida interior es «un preludio» de la vida del cielo. Dentro de este grupo de escritos pueden mencionarse: </w:t>
      </w:r>
      <w:r w:rsidR="00FD28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B0DB6" w:rsidRDefault="00FD28FE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L'amour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de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Dieu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et la Croix de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Iésus</w:t>
      </w:r>
      <w:proofErr w:type="spellEnd"/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1929.</w:t>
      </w:r>
    </w:p>
    <w:p w:rsidR="00FD28FE" w:rsidRDefault="00FD28FE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BB0DB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La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providen</w:t>
      </w: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et la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confiance</w:t>
      </w:r>
      <w:proofErr w:type="spellEnd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en </w:t>
      </w:r>
      <w:proofErr w:type="spellStart"/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Dieu</w:t>
      </w:r>
      <w:proofErr w:type="spellEnd"/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París 1932; </w:t>
      </w:r>
    </w:p>
    <w:p w:rsidR="00FD28FE" w:rsidRDefault="00FD28FE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La santificación del sacerdote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(Madrid 1953; primera ed. en latín, Roma, 1946) </w:t>
      </w:r>
    </w:p>
    <w:p w:rsidR="009552CB" w:rsidRDefault="00FD28FE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9552CB"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La unión del sacerdote con Cristo</w:t>
      </w:r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(Madrid, 1955; primera ed. en latín, Roma, 1948). </w:t>
      </w:r>
    </w:p>
    <w:p w:rsidR="0088356D" w:rsidRPr="0088356D" w:rsidRDefault="0088356D" w:rsidP="0088356D">
      <w:pPr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552CB" w:rsidRPr="0088356D" w:rsidRDefault="009552CB" w:rsidP="0088356D">
      <w:pPr>
        <w:spacing w:after="0" w:line="240" w:lineRule="auto"/>
        <w:ind w:right="-994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88356D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Obras en español</w:t>
      </w:r>
    </w:p>
    <w:p w:rsidR="0088356D" w:rsidRPr="0088356D" w:rsidRDefault="0088356D" w:rsidP="0088356D">
      <w:pPr>
        <w:spacing w:after="0" w:line="240" w:lineRule="auto"/>
        <w:ind w:right="-994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D28FE" w:rsidRDefault="009552CB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Dios: Su existencia solución tomista de las antinomias agnósticas</w:t>
      </w:r>
      <w:r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 w:rsidR="00FD28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Dos </w:t>
      </w:r>
      <w:r w:rsidR="00385E88">
        <w:fldChar w:fldCharType="begin"/>
      </w:r>
      <w:r w:rsidR="00385E88">
        <w:instrText>HYPERLINK "http://www.obrascatolicas.com/livros/Filosofia/Dios%20Tomo%20I%20Su%20existencia%20solucion%20tomista%20de%20las%20antinomias%20agnosticas%20do%20Padre%20Garrigou%20Lagrange%20.pdf"</w:instrText>
      </w:r>
      <w:r w:rsidR="00385E88">
        <w:fldChar w:fldCharType="separate"/>
      </w:r>
      <w:proofErr w:type="spellStart"/>
      <w:r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Volumen</w:t>
      </w:r>
      <w:r w:rsidR="00FD28FE"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  <w:proofErr w:type="spellEnd"/>
      <w:r w:rsidR="00FD28FE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9552CB" w:rsidRPr="0088356D" w:rsidRDefault="00385E88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fldChar w:fldCharType="end"/>
      </w:r>
      <w:hyperlink r:id="rId64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El realismo del principio de finalidad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65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El Salvador y su amor por nosotros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66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El Sentido Común</w:t>
        </w:r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(Original en Francés: </w:t>
      </w:r>
      <w:hyperlink r:id="rId67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 xml:space="preserve">Le </w:t>
        </w:r>
        <w:proofErr w:type="spellStart"/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sens</w:t>
        </w:r>
        <w:proofErr w:type="spellEnd"/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 xml:space="preserve"> </w:t>
        </w:r>
        <w:proofErr w:type="spellStart"/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commun</w:t>
        </w:r>
        <w:proofErr w:type="spellEnd"/>
      </w:hyperlink>
      <w:r w:rsidR="009552CB"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68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El sentido del misterio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69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La madre del Salvador y nuestra vida interior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70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La predestinaci</w:t>
        </w:r>
        <w:r w:rsidR="00FD28FE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ó</w:t>
        </w:r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n de los santos y la Gracia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71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La providencia y la confianza en Dios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72" w:history="1">
        <w:r w:rsidR="00FD28FE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La santificació</w:t>
        </w:r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n del sacerdote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73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La síntesis tomista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74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Las tres edades de la vida interior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75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La unión del sacerdote con Cristo sacerdote y víctima</w:t>
        </w:r>
      </w:hyperlink>
    </w:p>
    <w:p w:rsidR="009552CB" w:rsidRPr="0088356D" w:rsidRDefault="008E1D16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76" w:history="1"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La vida eterna</w:t>
        </w:r>
        <w:r w:rsidR="009552CB"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y </w:t>
        </w:r>
        <w:r w:rsidR="009552CB" w:rsidRPr="0088356D">
          <w:rPr>
            <w:rFonts w:ascii="Arial" w:eastAsia="Times New Roman" w:hAnsi="Arial" w:cs="Arial"/>
            <w:b/>
            <w:iCs/>
            <w:sz w:val="24"/>
            <w:szCs w:val="24"/>
            <w:lang w:eastAsia="es-ES"/>
          </w:rPr>
          <w:t>La profundidad del alma</w:t>
        </w:r>
      </w:hyperlink>
    </w:p>
    <w:p w:rsidR="0088356D" w:rsidRPr="0088356D" w:rsidRDefault="0088356D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552CB" w:rsidRPr="0088356D" w:rsidRDefault="009552CB" w:rsidP="0088356D">
      <w:pPr>
        <w:spacing w:after="0" w:line="240" w:lineRule="auto"/>
        <w:ind w:right="-994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88356D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Obras en latín</w:t>
      </w:r>
    </w:p>
    <w:p w:rsidR="0088356D" w:rsidRPr="0088356D" w:rsidRDefault="0088356D" w:rsidP="0088356D">
      <w:pPr>
        <w:spacing w:after="0" w:line="240" w:lineRule="auto"/>
        <w:ind w:right="-994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9552CB" w:rsidRPr="0088356D" w:rsidRDefault="009552CB" w:rsidP="0088356D">
      <w:pPr>
        <w:spacing w:after="0" w:line="240" w:lineRule="auto"/>
        <w:ind w:left="720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De </w:t>
      </w:r>
      <w:proofErr w:type="spellStart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Revelatione</w:t>
      </w:r>
      <w:proofErr w:type="spellEnd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per </w:t>
      </w:r>
      <w:proofErr w:type="spellStart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Ecclesiam</w:t>
      </w:r>
      <w:proofErr w:type="spellEnd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Catholicam</w:t>
      </w:r>
      <w:proofErr w:type="spellEnd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proposita</w:t>
      </w:r>
      <w:proofErr w:type="spellEnd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– </w:t>
      </w:r>
      <w:proofErr w:type="spellStart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Theologia</w:t>
      </w:r>
      <w:proofErr w:type="spellEnd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Fundametalis</w:t>
      </w:r>
      <w:proofErr w:type="spellEnd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secundum</w:t>
      </w:r>
      <w:proofErr w:type="spellEnd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S. </w:t>
      </w:r>
      <w:proofErr w:type="spellStart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Thomae</w:t>
      </w:r>
      <w:proofErr w:type="spellEnd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proofErr w:type="spellStart"/>
      <w:r w:rsidRPr="0088356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Doctrinam</w:t>
      </w:r>
      <w:proofErr w:type="spellEnd"/>
      <w:r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hyperlink r:id="rId77" w:history="1">
        <w:r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Volumen I</w:t>
        </w:r>
      </w:hyperlink>
      <w:r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&amp; </w:t>
      </w:r>
      <w:hyperlink r:id="rId78" w:history="1">
        <w:r w:rsidRPr="0088356D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Volumen II</w:t>
        </w:r>
      </w:hyperlink>
      <w:r w:rsidRPr="0088356D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</w:p>
    <w:p w:rsidR="009552CB" w:rsidRPr="0088356D" w:rsidRDefault="009552CB" w:rsidP="0088356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iCs/>
          <w:sz w:val="23"/>
          <w:szCs w:val="23"/>
          <w:lang w:eastAsia="es-ES"/>
        </w:rPr>
      </w:pPr>
      <w:r w:rsidRPr="0088356D">
        <w:rPr>
          <w:rFonts w:ascii="Arial" w:eastAsia="Times New Roman" w:hAnsi="Arial" w:cs="Arial"/>
          <w:b/>
          <w:i/>
          <w:iCs/>
          <w:sz w:val="23"/>
          <w:szCs w:val="23"/>
          <w:lang w:eastAsia="es-ES"/>
        </w:rPr>
        <w:t>.</w:t>
      </w:r>
    </w:p>
    <w:p w:rsidR="009552CB" w:rsidRPr="009552CB" w:rsidRDefault="009552CB" w:rsidP="009552CB">
      <w:pPr>
        <w:spacing w:before="100" w:beforeAutospacing="1" w:after="100" w:afterAutospacing="1" w:line="240" w:lineRule="auto"/>
        <w:ind w:left="-709" w:right="-85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552CB" w:rsidRPr="009552CB" w:rsidRDefault="009552CB" w:rsidP="009552CB">
      <w:pPr>
        <w:spacing w:before="100" w:beforeAutospacing="1" w:after="100" w:afterAutospacing="1" w:line="240" w:lineRule="auto"/>
        <w:ind w:left="-709" w:right="-85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0E41" w:rsidRPr="009552CB" w:rsidRDefault="00500E41" w:rsidP="009552CB">
      <w:pPr>
        <w:ind w:left="-851" w:right="-852" w:firstLine="142"/>
        <w:rPr>
          <w:rFonts w:ascii="Arial" w:hAnsi="Arial" w:cs="Arial"/>
          <w:b/>
          <w:sz w:val="24"/>
          <w:szCs w:val="24"/>
        </w:rPr>
      </w:pPr>
    </w:p>
    <w:sectPr w:rsidR="00500E41" w:rsidRPr="009552CB" w:rsidSect="0088356D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458"/>
    <w:multiLevelType w:val="multilevel"/>
    <w:tmpl w:val="B156B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0233D"/>
    <w:multiLevelType w:val="multilevel"/>
    <w:tmpl w:val="41B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2520A"/>
    <w:multiLevelType w:val="multilevel"/>
    <w:tmpl w:val="34F2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65EA5"/>
    <w:multiLevelType w:val="multilevel"/>
    <w:tmpl w:val="6E4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F7EE1"/>
    <w:multiLevelType w:val="multilevel"/>
    <w:tmpl w:val="9A16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A09F6"/>
    <w:multiLevelType w:val="multilevel"/>
    <w:tmpl w:val="BF58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E6A63"/>
    <w:multiLevelType w:val="multilevel"/>
    <w:tmpl w:val="5D8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E41"/>
    <w:rsid w:val="002350CA"/>
    <w:rsid w:val="00385E88"/>
    <w:rsid w:val="00500E41"/>
    <w:rsid w:val="005828A1"/>
    <w:rsid w:val="0059587C"/>
    <w:rsid w:val="00713A7C"/>
    <w:rsid w:val="0088356D"/>
    <w:rsid w:val="008E1D16"/>
    <w:rsid w:val="009552CB"/>
    <w:rsid w:val="009D2C3B"/>
    <w:rsid w:val="00A04E75"/>
    <w:rsid w:val="00B849E4"/>
    <w:rsid w:val="00BB0DB6"/>
    <w:rsid w:val="00FD2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806"/>
  <w15:docId w15:val="{BA1C7D10-B15C-4B77-910A-B1460C8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75"/>
  </w:style>
  <w:style w:type="paragraph" w:styleId="Ttulo1">
    <w:name w:val="heading 1"/>
    <w:basedOn w:val="Normal"/>
    <w:link w:val="Ttulo1Car"/>
    <w:uiPriority w:val="9"/>
    <w:qFormat/>
    <w:rsid w:val="00955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55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9E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552C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552C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552CB"/>
    <w:rPr>
      <w:color w:val="0000FF"/>
      <w:u w:val="single"/>
    </w:rPr>
  </w:style>
  <w:style w:type="character" w:customStyle="1" w:styleId="tocnumber">
    <w:name w:val="tocnumber"/>
    <w:basedOn w:val="Fuentedeprrafopredeter"/>
    <w:rsid w:val="009552CB"/>
  </w:style>
  <w:style w:type="character" w:customStyle="1" w:styleId="toctext">
    <w:name w:val="toctext"/>
    <w:basedOn w:val="Fuentedeprrafopredeter"/>
    <w:rsid w:val="009552CB"/>
  </w:style>
  <w:style w:type="character" w:customStyle="1" w:styleId="mw-headline">
    <w:name w:val="mw-headline"/>
    <w:basedOn w:val="Fuentedeprrafopredeter"/>
    <w:rsid w:val="009552CB"/>
  </w:style>
  <w:style w:type="character" w:styleId="Textoennegrita">
    <w:name w:val="Strong"/>
    <w:basedOn w:val="Fuentedeprrafopredeter"/>
    <w:uiPriority w:val="22"/>
    <w:qFormat/>
    <w:rsid w:val="009552CB"/>
    <w:rPr>
      <w:b/>
      <w:bCs/>
    </w:rPr>
  </w:style>
  <w:style w:type="character" w:styleId="nfasis">
    <w:name w:val="Emphasis"/>
    <w:basedOn w:val="Fuentedeprrafopredeter"/>
    <w:uiPriority w:val="20"/>
    <w:qFormat/>
    <w:rsid w:val="009552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Sorbona" TargetMode="External"/><Relationship Id="rId21" Type="http://schemas.openxmlformats.org/officeDocument/2006/relationships/hyperlink" Target="https://es.wikipedia.org/w/index.php?title=Ernest_Hello&amp;action=edit&amp;redlink=1" TargetMode="External"/><Relationship Id="rId42" Type="http://schemas.openxmlformats.org/officeDocument/2006/relationships/hyperlink" Target="https://es.wikipedia.org/wiki/Neoescol%C3%A1stica" TargetMode="External"/><Relationship Id="rId47" Type="http://schemas.openxmlformats.org/officeDocument/2006/relationships/hyperlink" Target="https://es.wikipedia.org/wiki/Realismo_filos%C3%B3fico" TargetMode="External"/><Relationship Id="rId63" Type="http://schemas.openxmlformats.org/officeDocument/2006/relationships/hyperlink" Target="https://es.wikipedia.org/wiki/San_Juan_de_la_Cruz" TargetMode="External"/><Relationship Id="rId68" Type="http://schemas.openxmlformats.org/officeDocument/2006/relationships/hyperlink" Target="http://www.obrascatolicas.com/livros/Filosofia/El%20Sentido%20del%20Misterio%20Padre%20Reginald%20Garrigou%20Lagrange.pdf" TargetMode="External"/><Relationship Id="rId16" Type="http://schemas.openxmlformats.org/officeDocument/2006/relationships/hyperlink" Target="https://es.wikipedia.org/wiki/La_Roche-sur-Yon" TargetMode="External"/><Relationship Id="rId11" Type="http://schemas.openxmlformats.org/officeDocument/2006/relationships/hyperlink" Target="https://es.wikipedia.org/wiki/15_de_febrero" TargetMode="External"/><Relationship Id="rId24" Type="http://schemas.openxmlformats.org/officeDocument/2006/relationships/hyperlink" Target="https://es.wikipedia.org/wiki/Amiens" TargetMode="External"/><Relationship Id="rId32" Type="http://schemas.openxmlformats.org/officeDocument/2006/relationships/hyperlink" Target="https://es.wikipedia.org/w/index.php?title=Jes%C3%BAs_G._Arintero&amp;action=edit&amp;redlink=1" TargetMode="External"/><Relationship Id="rId37" Type="http://schemas.openxmlformats.org/officeDocument/2006/relationships/hyperlink" Target="https://es.wikipedia.org/wiki/Apolog%C3%A9tica" TargetMode="External"/><Relationship Id="rId40" Type="http://schemas.openxmlformats.org/officeDocument/2006/relationships/hyperlink" Target="https://es.wikipedia.org/wiki/Espiritualidad" TargetMode="External"/><Relationship Id="rId45" Type="http://schemas.openxmlformats.org/officeDocument/2006/relationships/hyperlink" Target="https://es.wikipedia.org/wiki/Bergson" TargetMode="External"/><Relationship Id="rId53" Type="http://schemas.openxmlformats.org/officeDocument/2006/relationships/hyperlink" Target="https://es.wikipedia.org/wiki/Cardenal_Cayetano" TargetMode="External"/><Relationship Id="rId58" Type="http://schemas.openxmlformats.org/officeDocument/2006/relationships/hyperlink" Target="https://es.wikipedia.org/wiki/P%C3%ADo_XII" TargetMode="External"/><Relationship Id="rId66" Type="http://schemas.openxmlformats.org/officeDocument/2006/relationships/hyperlink" Target="http://www.obrascatolicas.com/livros/Filosofia/El%20sentido%20comun.pdf" TargetMode="External"/><Relationship Id="rId74" Type="http://schemas.openxmlformats.org/officeDocument/2006/relationships/hyperlink" Target="http://www.obrascatolicas.com/livros/Espiritualidade%20e%20Religiao/Las%20tres%20edades%20de%20la%20vida%20interior%20%20Padre%20Reginald%20Garrigou%20Lagrange.pdf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es.wikipedia.org/wiki/Molinismo" TargetMode="External"/><Relationship Id="rId19" Type="http://schemas.openxmlformats.org/officeDocument/2006/relationships/hyperlink" Target="https://es.wikipedia.org/wiki/Tarbes" TargetMode="External"/><Relationship Id="rId14" Type="http://schemas.openxmlformats.org/officeDocument/2006/relationships/hyperlink" Target="https://es.wikipedia.org/wiki/Te%C3%B3logo" TargetMode="External"/><Relationship Id="rId22" Type="http://schemas.openxmlformats.org/officeDocument/2006/relationships/hyperlink" Target="https://es.wikipedia.org/wiki/Clero_regular" TargetMode="External"/><Relationship Id="rId27" Type="http://schemas.openxmlformats.org/officeDocument/2006/relationships/hyperlink" Target="https://es.wikipedia.org/wiki/Universidad_de_Friburgo_(Suiza)" TargetMode="External"/><Relationship Id="rId30" Type="http://schemas.openxmlformats.org/officeDocument/2006/relationships/hyperlink" Target="https://es.wikipedia.org/wiki/Angelicum" TargetMode="External"/><Relationship Id="rId35" Type="http://schemas.openxmlformats.org/officeDocument/2006/relationships/hyperlink" Target="https://es.wikipedia.org/wiki/Santa_Sede" TargetMode="External"/><Relationship Id="rId43" Type="http://schemas.openxmlformats.org/officeDocument/2006/relationships/hyperlink" Target="https://es.wikipedia.org/wiki/Le%C3%B3n_XIII" TargetMode="External"/><Relationship Id="rId48" Type="http://schemas.openxmlformats.org/officeDocument/2006/relationships/hyperlink" Target="https://es.wikipedia.org/wiki/Sentido_com%C3%BAn" TargetMode="External"/><Relationship Id="rId56" Type="http://schemas.openxmlformats.org/officeDocument/2006/relationships/hyperlink" Target="https://es.wikipedia.org/wiki/Inmanentismo" TargetMode="External"/><Relationship Id="rId64" Type="http://schemas.openxmlformats.org/officeDocument/2006/relationships/hyperlink" Target="http://www.obrascatolicas.com/livros/Filosofia/El%20realismo%20del%20principio%20de%20finalidad%20Padre%20Reginald%20Garrigou%20Lagrange.pdf" TargetMode="External"/><Relationship Id="rId69" Type="http://schemas.openxmlformats.org/officeDocument/2006/relationships/hyperlink" Target="http://www.obrascatolicas.com/livros/Espiritualidade%20e%20Religiao/La%20Madre%20del%20Salvador%20y%20nuestra%20vida%20interior.pdf" TargetMode="External"/><Relationship Id="rId77" Type="http://schemas.openxmlformats.org/officeDocument/2006/relationships/hyperlink" Target="http://www.obrascatolicas.com/livros/Apologetica/De%20Revelatione%20I.pdf" TargetMode="External"/><Relationship Id="rId8" Type="http://schemas.openxmlformats.org/officeDocument/2006/relationships/hyperlink" Target="https://es.wikipedia.org/wiki/21_de_febrero" TargetMode="External"/><Relationship Id="rId51" Type="http://schemas.openxmlformats.org/officeDocument/2006/relationships/hyperlink" Target="https://es.wikipedia.org/wiki/Ontolog%C3%ADa" TargetMode="External"/><Relationship Id="rId72" Type="http://schemas.openxmlformats.org/officeDocument/2006/relationships/hyperlink" Target="http://www.obrascatolicas.com/livros/Espiritualidade%20e%20Religiao/La%20Santificacion%20del%20Sacerdote%20garrigou-lagrange.pd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1964" TargetMode="External"/><Relationship Id="rId17" Type="http://schemas.openxmlformats.org/officeDocument/2006/relationships/hyperlink" Target="https://es.wikipedia.org/wiki/Vend%C3%A9e" TargetMode="External"/><Relationship Id="rId25" Type="http://schemas.openxmlformats.org/officeDocument/2006/relationships/hyperlink" Target="https://es.wikipedia.org/wiki/Ambroise_Gardeil" TargetMode="External"/><Relationship Id="rId33" Type="http://schemas.openxmlformats.org/officeDocument/2006/relationships/hyperlink" Target="https://es.wikipedia.org/wiki/Teolog%C3%ADa_dogm%C3%A1tica" TargetMode="External"/><Relationship Id="rId38" Type="http://schemas.openxmlformats.org/officeDocument/2006/relationships/hyperlink" Target="https://es.wikipedia.org/wiki/Filosof%C3%ADa" TargetMode="External"/><Relationship Id="rId46" Type="http://schemas.openxmlformats.org/officeDocument/2006/relationships/hyperlink" Target="https://es.wikipedia.org/wiki/%C3%89douard_Le_Roy" TargetMode="External"/><Relationship Id="rId59" Type="http://schemas.openxmlformats.org/officeDocument/2006/relationships/hyperlink" Target="https://es.wikipedia.org/wiki/Gracia_divina" TargetMode="External"/><Relationship Id="rId67" Type="http://schemas.openxmlformats.org/officeDocument/2006/relationships/hyperlink" Target="http://www.archive.org/details/lesenscommunlaph00garr" TargetMode="External"/><Relationship Id="rId20" Type="http://schemas.openxmlformats.org/officeDocument/2006/relationships/hyperlink" Target="https://es.wikipedia.org/wiki/Burdeos" TargetMode="External"/><Relationship Id="rId41" Type="http://schemas.openxmlformats.org/officeDocument/2006/relationships/hyperlink" Target="https://es.wikipedia.org/wiki/Revelaci%C3%B3n" TargetMode="External"/><Relationship Id="rId54" Type="http://schemas.openxmlformats.org/officeDocument/2006/relationships/hyperlink" Target="https://es.wikipedia.org/wiki/Juan_de_Santo_Tom%C3%A1s" TargetMode="External"/><Relationship Id="rId62" Type="http://schemas.openxmlformats.org/officeDocument/2006/relationships/hyperlink" Target="https://es.wikipedia.org/w/index.php?title=Mar%C3%ADn-Sola&amp;action=edit&amp;redlink=1" TargetMode="External"/><Relationship Id="rId70" Type="http://schemas.openxmlformats.org/officeDocument/2006/relationships/hyperlink" Target="http://www.obrascatolicas.com/livros/Teologia/La%20Predestinacion%20de%20los%20Santos%20y%20la%20Gracia%20Pe%20Reginald%20Garrigou%20Lagrange%20OP.pdf" TargetMode="External"/><Relationship Id="rId75" Type="http://schemas.openxmlformats.org/officeDocument/2006/relationships/hyperlink" Target="http://www.obrascatolicas.com/livros/Espiritualidade%20e%20Religiao/La%20Union%20del%20sacerdote%20con%20Cristo%20Sacerdote%20y%20Victim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uch" TargetMode="External"/><Relationship Id="rId15" Type="http://schemas.openxmlformats.org/officeDocument/2006/relationships/hyperlink" Target="https://es.wikipedia.org/wiki/Fil%C3%B3sofo" TargetMode="External"/><Relationship Id="rId23" Type="http://schemas.openxmlformats.org/officeDocument/2006/relationships/hyperlink" Target="https://es.wikipedia.org/wiki/Dominico" TargetMode="External"/><Relationship Id="rId28" Type="http://schemas.openxmlformats.org/officeDocument/2006/relationships/hyperlink" Target="https://es.wikipedia.org/wiki/Norberto_del_Prado" TargetMode="External"/><Relationship Id="rId36" Type="http://schemas.openxmlformats.org/officeDocument/2006/relationships/hyperlink" Target="https://es.wikipedia.org/wiki/Roma" TargetMode="External"/><Relationship Id="rId49" Type="http://schemas.openxmlformats.org/officeDocument/2006/relationships/hyperlink" Target="https://es.wikipedia.org/wiki/Ser" TargetMode="External"/><Relationship Id="rId57" Type="http://schemas.openxmlformats.org/officeDocument/2006/relationships/hyperlink" Target="https://es.wikipedia.org/wiki/Humani_generis" TargetMode="External"/><Relationship Id="rId10" Type="http://schemas.openxmlformats.org/officeDocument/2006/relationships/hyperlink" Target="https://es.wikipedia.org/wiki/Roma" TargetMode="External"/><Relationship Id="rId31" Type="http://schemas.openxmlformats.org/officeDocument/2006/relationships/hyperlink" Target="https://es.wikipedia.org/wiki/Universidad_Pontificia_de_Santo_Tom%C3%A1s_de_Aquino" TargetMode="External"/><Relationship Id="rId44" Type="http://schemas.openxmlformats.org/officeDocument/2006/relationships/hyperlink" Target="https://es.wikipedia.org/wiki/Inmanentismo" TargetMode="External"/><Relationship Id="rId52" Type="http://schemas.openxmlformats.org/officeDocument/2006/relationships/hyperlink" Target="https://es.wikipedia.org/wiki/Summa_Theologiae" TargetMode="External"/><Relationship Id="rId60" Type="http://schemas.openxmlformats.org/officeDocument/2006/relationships/hyperlink" Target="https://es.wikipedia.org/wiki/Predestinaci%C3%B3n" TargetMode="External"/><Relationship Id="rId65" Type="http://schemas.openxmlformats.org/officeDocument/2006/relationships/hyperlink" Target="http://www.obrascatolicas.com/livros/Espiritualidade%20e%20Religiao/El%20Salvador%20y%20su%20amor%20por%20nosotros.pdf" TargetMode="External"/><Relationship Id="rId73" Type="http://schemas.openxmlformats.org/officeDocument/2006/relationships/hyperlink" Target="http://www.obrascatolicas.com/livros/Teologia/La%20Sintesis%20Tomista.pdf" TargetMode="External"/><Relationship Id="rId78" Type="http://schemas.openxmlformats.org/officeDocument/2006/relationships/hyperlink" Target="http://www.obrascatolicas.com/livros/Apologetica/De%20Revelatione%20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877" TargetMode="External"/><Relationship Id="rId13" Type="http://schemas.openxmlformats.org/officeDocument/2006/relationships/hyperlink" Target="https://es.wikipedia.org/wiki/Dominico" TargetMode="External"/><Relationship Id="rId18" Type="http://schemas.openxmlformats.org/officeDocument/2006/relationships/hyperlink" Target="https://es.wikipedia.org/wiki/Nantes" TargetMode="External"/><Relationship Id="rId39" Type="http://schemas.openxmlformats.org/officeDocument/2006/relationships/hyperlink" Target="https://es.wikipedia.org/wiki/Teolog%C3%ADa_dogm%C3%A1tica" TargetMode="External"/><Relationship Id="rId34" Type="http://schemas.openxmlformats.org/officeDocument/2006/relationships/hyperlink" Target="https://es.wikipedia.org/wiki/Arist%C3%B3teles" TargetMode="External"/><Relationship Id="rId50" Type="http://schemas.openxmlformats.org/officeDocument/2006/relationships/hyperlink" Target="https://es.wikipedia.org/wiki/Cr%C3%ADtica" TargetMode="External"/><Relationship Id="rId55" Type="http://schemas.openxmlformats.org/officeDocument/2006/relationships/hyperlink" Target="https://es.wikipedia.org/wiki/Neotomismo" TargetMode="External"/><Relationship Id="rId76" Type="http://schemas.openxmlformats.org/officeDocument/2006/relationships/hyperlink" Target="http://www.obrascatolicas.com/livros/Escatologia/La%20vida%20eterna%20y%20La%20profundidad%20del%20alma.pdf" TargetMode="External"/><Relationship Id="rId7" Type="http://schemas.openxmlformats.org/officeDocument/2006/relationships/hyperlink" Target="https://es.wikipedia.org/wiki/Francia" TargetMode="External"/><Relationship Id="rId71" Type="http://schemas.openxmlformats.org/officeDocument/2006/relationships/hyperlink" Target="http://www.obrascatolicas.com/livros/Espiritualidade%20e%20Religiao/La%20providencia%20y%20la%20confianza%20en%20Dios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/index.php?title=Le_Saulchoir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2413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Delegación de Catequesis</dc:creator>
  <cp:lastModifiedBy>jucaplpe</cp:lastModifiedBy>
  <cp:revision>3</cp:revision>
  <cp:lastPrinted>2018-01-22T11:53:00Z</cp:lastPrinted>
  <dcterms:created xsi:type="dcterms:W3CDTF">2019-07-17T14:01:00Z</dcterms:created>
  <dcterms:modified xsi:type="dcterms:W3CDTF">2019-07-30T09:37:00Z</dcterms:modified>
</cp:coreProperties>
</file>