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5C" w:rsidRDefault="0066235C" w:rsidP="00BF0EAD">
      <w:pPr>
        <w:ind w:left="-426" w:firstLine="142"/>
      </w:pPr>
    </w:p>
    <w:p w:rsidR="00BF0EAD" w:rsidRDefault="00BF0EAD" w:rsidP="00BF0EAD">
      <w:pPr>
        <w:ind w:left="-426" w:firstLine="142"/>
      </w:pPr>
    </w:p>
    <w:p w:rsidR="00FA4054" w:rsidRDefault="00FA4054" w:rsidP="00FA4054">
      <w:pPr>
        <w:ind w:left="-426" w:firstLine="142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Domingo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Gundisalvo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+ 1115 - 1190</w:t>
      </w:r>
    </w:p>
    <w:p w:rsidR="00FA4054" w:rsidRDefault="00FA4054" w:rsidP="00FA4054">
      <w:pPr>
        <w:ind w:left="-426" w:firstLine="142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2857500" cy="2771775"/>
            <wp:effectExtent l="19050" t="0" r="0" b="0"/>
            <wp:docPr id="12" name="Imagen 12" descr="Resultado de imagen de Domingo Gundisa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omingo Gundisal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4" w:rsidRPr="00FA4054" w:rsidRDefault="00FA40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proofErr w:type="spellStart"/>
      <w:r w:rsidRPr="00FA4054">
        <w:rPr>
          <w:rFonts w:ascii="Arial" w:hAnsi="Arial" w:cs="Arial"/>
          <w:b/>
          <w:bCs/>
        </w:rPr>
        <w:t>Dominicus</w:t>
      </w:r>
      <w:proofErr w:type="spellEnd"/>
      <w:r w:rsidRPr="00FA4054">
        <w:rPr>
          <w:rFonts w:ascii="Arial" w:hAnsi="Arial" w:cs="Arial"/>
          <w:b/>
          <w:bCs/>
        </w:rPr>
        <w:t xml:space="preserve"> </w:t>
      </w:r>
      <w:proofErr w:type="spellStart"/>
      <w:r w:rsidRPr="00FA4054">
        <w:rPr>
          <w:rFonts w:ascii="Arial" w:hAnsi="Arial" w:cs="Arial"/>
          <w:b/>
          <w:bCs/>
        </w:rPr>
        <w:t>Gundisalvi</w:t>
      </w:r>
      <w:proofErr w:type="spellEnd"/>
      <w:r w:rsidRPr="00FA4054">
        <w:rPr>
          <w:rFonts w:ascii="Arial" w:hAnsi="Arial" w:cs="Arial"/>
          <w:b/>
        </w:rPr>
        <w:t xml:space="preserve"> o </w:t>
      </w:r>
      <w:r w:rsidRPr="00FA4054">
        <w:rPr>
          <w:rFonts w:ascii="Arial" w:hAnsi="Arial" w:cs="Arial"/>
          <w:b/>
          <w:bCs/>
        </w:rPr>
        <w:t xml:space="preserve">Domingo </w:t>
      </w:r>
      <w:proofErr w:type="spellStart"/>
      <w:r w:rsidRPr="00FA4054">
        <w:rPr>
          <w:rFonts w:ascii="Arial" w:hAnsi="Arial" w:cs="Arial"/>
          <w:b/>
          <w:bCs/>
        </w:rPr>
        <w:t>Gundisalvo</w:t>
      </w:r>
      <w:proofErr w:type="spellEnd"/>
      <w:r w:rsidRPr="00FA4054">
        <w:rPr>
          <w:rFonts w:ascii="Arial" w:hAnsi="Arial" w:cs="Arial"/>
          <w:b/>
        </w:rPr>
        <w:t xml:space="preserve"> (</w:t>
      </w:r>
      <w:proofErr w:type="spellStart"/>
      <w:r w:rsidRPr="00FA4054">
        <w:rPr>
          <w:rFonts w:ascii="Arial" w:hAnsi="Arial" w:cs="Arial"/>
          <w:b/>
        </w:rPr>
        <w:t>ca</w:t>
      </w:r>
      <w:proofErr w:type="spellEnd"/>
      <w:r w:rsidRPr="00FA4054">
        <w:rPr>
          <w:rFonts w:ascii="Arial" w:hAnsi="Arial" w:cs="Arial"/>
          <w:b/>
        </w:rPr>
        <w:t xml:space="preserve">. </w:t>
      </w:r>
      <w:hyperlink r:id="rId6" w:tooltip="1115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1115</w:t>
        </w:r>
      </w:hyperlink>
      <w:r w:rsidRPr="00FA4054">
        <w:rPr>
          <w:rFonts w:ascii="Arial" w:hAnsi="Arial" w:cs="Arial"/>
          <w:b/>
        </w:rPr>
        <w:t xml:space="preserve">- post </w:t>
      </w:r>
      <w:hyperlink r:id="rId7" w:tooltip="1190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1190</w:t>
        </w:r>
      </w:hyperlink>
      <w:r w:rsidRPr="00FA4054">
        <w:rPr>
          <w:rFonts w:ascii="Arial" w:hAnsi="Arial" w:cs="Arial"/>
          <w:b/>
        </w:rPr>
        <w:t xml:space="preserve">), fue un importante </w:t>
      </w:r>
      <w:hyperlink r:id="rId8" w:tooltip="Filósofo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filósofo</w:t>
        </w:r>
      </w:hyperlink>
      <w:r w:rsidRPr="00FA4054">
        <w:rPr>
          <w:rFonts w:ascii="Arial" w:hAnsi="Arial" w:cs="Arial"/>
          <w:b/>
        </w:rPr>
        <w:t xml:space="preserve"> y </w:t>
      </w:r>
      <w:hyperlink r:id="rId9" w:tooltip="Traductor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traductor</w:t>
        </w:r>
      </w:hyperlink>
      <w:r w:rsidRPr="00FA4054">
        <w:rPr>
          <w:rFonts w:ascii="Arial" w:hAnsi="Arial" w:cs="Arial"/>
          <w:b/>
        </w:rPr>
        <w:t xml:space="preserve"> toledano del siglo XII.</w:t>
      </w:r>
    </w:p>
    <w:p w:rsidR="00466B54" w:rsidRDefault="00FA40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A4054">
        <w:rPr>
          <w:rFonts w:ascii="Arial" w:hAnsi="Arial" w:cs="Arial"/>
          <w:b/>
        </w:rPr>
        <w:t>De probable formación francesa,</w:t>
      </w:r>
      <w:r>
        <w:rPr>
          <w:rFonts w:ascii="Arial" w:hAnsi="Arial" w:cs="Arial"/>
          <w:b/>
        </w:rPr>
        <w:t xml:space="preserve"> </w:t>
      </w:r>
      <w:r w:rsidRPr="00FA4054">
        <w:rPr>
          <w:rFonts w:ascii="Arial" w:hAnsi="Arial" w:cs="Arial"/>
          <w:b/>
        </w:rPr>
        <w:t xml:space="preserve"> </w:t>
      </w:r>
      <w:proofErr w:type="spellStart"/>
      <w:r w:rsidRPr="00FA4054">
        <w:rPr>
          <w:rFonts w:ascii="Arial" w:hAnsi="Arial" w:cs="Arial"/>
          <w:b/>
        </w:rPr>
        <w:t>Gundissalinus</w:t>
      </w:r>
      <w:proofErr w:type="spellEnd"/>
      <w:r w:rsidRPr="00FA4054">
        <w:rPr>
          <w:rFonts w:ascii="Arial" w:hAnsi="Arial" w:cs="Arial"/>
          <w:b/>
        </w:rPr>
        <w:t xml:space="preserve"> fue arcediano de </w:t>
      </w:r>
      <w:hyperlink r:id="rId10" w:tooltip="Cuéllar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Cuéllar</w:t>
        </w:r>
      </w:hyperlink>
      <w:r w:rsidRPr="00FA4054">
        <w:rPr>
          <w:rFonts w:ascii="Arial" w:hAnsi="Arial" w:cs="Arial"/>
          <w:b/>
        </w:rPr>
        <w:t xml:space="preserve"> pero desarrolló su actividad filosófica en </w:t>
      </w:r>
      <w:hyperlink r:id="rId11" w:tooltip="Toledo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Pr="00FA4054">
        <w:rPr>
          <w:rFonts w:ascii="Arial" w:hAnsi="Arial" w:cs="Arial"/>
          <w:b/>
        </w:rPr>
        <w:t>, por lo menos a partir de 1162.</w:t>
      </w:r>
      <w:hyperlink r:id="rId12" w:anchor="cite_note-2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Pr="00FA4054">
        <w:rPr>
          <w:rFonts w:ascii="Arial" w:hAnsi="Arial" w:cs="Arial"/>
          <w:b/>
        </w:rPr>
        <w:t xml:space="preserve"> En la ciudad castellana, primero bajo el arzobispo </w:t>
      </w:r>
      <w:hyperlink r:id="rId13" w:tooltip="Juan de Castelmoron (aún no redactado)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de 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Castelmoron</w:t>
        </w:r>
        <w:proofErr w:type="spellEnd"/>
      </w:hyperlink>
      <w:r w:rsidRPr="00FA4054">
        <w:rPr>
          <w:rFonts w:ascii="Arial" w:hAnsi="Arial" w:cs="Arial"/>
          <w:b/>
        </w:rPr>
        <w:t xml:space="preserve"> y luego bajo </w:t>
      </w:r>
      <w:hyperlink r:id="rId14" w:tooltip="Cerebruno" w:history="1"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Cerebruno</w:t>
        </w:r>
        <w:proofErr w:type="spellEnd"/>
      </w:hyperlink>
      <w:r w:rsidRPr="00FA4054">
        <w:rPr>
          <w:rFonts w:ascii="Arial" w:hAnsi="Arial" w:cs="Arial"/>
          <w:b/>
        </w:rPr>
        <w:t xml:space="preserve">, </w:t>
      </w:r>
      <w:proofErr w:type="spellStart"/>
      <w:r w:rsidRPr="00FA4054">
        <w:rPr>
          <w:rFonts w:ascii="Arial" w:hAnsi="Arial" w:cs="Arial"/>
          <w:b/>
        </w:rPr>
        <w:t>Gundissalinus</w:t>
      </w:r>
      <w:proofErr w:type="spellEnd"/>
      <w:r w:rsidRPr="00FA4054">
        <w:rPr>
          <w:rFonts w:ascii="Arial" w:hAnsi="Arial" w:cs="Arial"/>
          <w:b/>
        </w:rPr>
        <w:t xml:space="preserve"> tradujo más de veinte obras filosóficas del árabe al latín, en el mismo periodo en que </w:t>
      </w:r>
      <w:hyperlink r:id="rId15" w:tooltip="Gerardo de Cremona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Gerardo de Cremona</w:t>
        </w:r>
      </w:hyperlink>
      <w:r w:rsidRPr="00FA4054">
        <w:rPr>
          <w:rFonts w:ascii="Arial" w:hAnsi="Arial" w:cs="Arial"/>
          <w:b/>
        </w:rPr>
        <w:t xml:space="preserve"> estaba activo en </w:t>
      </w:r>
      <w:hyperlink r:id="rId16" w:tooltip="Toledo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Pr="00FA4054">
        <w:rPr>
          <w:rFonts w:ascii="Arial" w:hAnsi="Arial" w:cs="Arial"/>
          <w:b/>
        </w:rPr>
        <w:t>.</w:t>
      </w:r>
    </w:p>
    <w:p w:rsidR="00FA4054" w:rsidRPr="00FA4054" w:rsidRDefault="00466B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A4054" w:rsidRPr="00FA4054">
        <w:rPr>
          <w:rFonts w:ascii="Arial" w:hAnsi="Arial" w:cs="Arial"/>
          <w:b/>
        </w:rPr>
        <w:t xml:space="preserve"> Además del trabajo de traducción,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 fue también un agudo y prolífico filósofo, y escribió cinco importantes tratados en los cuales recoge, con espíritu crítico, los principales resultados de la reflexión árabe y hebrea, y particularmente </w:t>
      </w:r>
      <w:hyperlink r:id="rId17" w:tooltip="Avicena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Avicena</w:t>
        </w:r>
      </w:hyperlink>
      <w:r w:rsidR="00FA4054" w:rsidRPr="00FA4054">
        <w:rPr>
          <w:rFonts w:ascii="Arial" w:hAnsi="Arial" w:cs="Arial"/>
          <w:b/>
        </w:rPr>
        <w:t xml:space="preserve">, </w:t>
      </w:r>
      <w:hyperlink r:id="rId18" w:tooltip="Al-Farabi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Farabi</w:t>
        </w:r>
        <w:proofErr w:type="spellEnd"/>
      </w:hyperlink>
      <w:r w:rsidR="00FA4054" w:rsidRPr="00FA4054">
        <w:rPr>
          <w:rFonts w:ascii="Arial" w:hAnsi="Arial" w:cs="Arial"/>
          <w:b/>
        </w:rPr>
        <w:t xml:space="preserve"> e </w:t>
      </w:r>
      <w:hyperlink r:id="rId19" w:tooltip="Ibn Gabirol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 xml:space="preserve">ibn </w:t>
        </w:r>
        <w:proofErr w:type="spellStart"/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Gabirol</w:t>
        </w:r>
        <w:proofErr w:type="spellEnd"/>
      </w:hyperlink>
      <w:r w:rsidR="00FA4054" w:rsidRPr="00FA4054">
        <w:rPr>
          <w:rFonts w:ascii="Arial" w:hAnsi="Arial" w:cs="Arial"/>
          <w:b/>
        </w:rPr>
        <w:t xml:space="preserve">, reconduciéndolos a la tradición filosófica latina.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 es el primer filósofo latino en acoger algunas de las doctrinas más problemáticas para la especulación latina del siglo siguiente, como la doctrina del </w:t>
      </w:r>
      <w:proofErr w:type="spellStart"/>
      <w:r w:rsidR="00FA4054" w:rsidRPr="00FA4054">
        <w:rPr>
          <w:rFonts w:ascii="Arial" w:hAnsi="Arial" w:cs="Arial"/>
          <w:b/>
        </w:rPr>
        <w:t>hilemorfismo</w:t>
      </w:r>
      <w:proofErr w:type="spellEnd"/>
      <w:r w:rsidR="00FA4054" w:rsidRPr="00FA4054">
        <w:rPr>
          <w:rFonts w:ascii="Arial" w:hAnsi="Arial" w:cs="Arial"/>
          <w:b/>
        </w:rPr>
        <w:t xml:space="preserve"> universal y la doctrina del intelecto único agente.</w:t>
      </w:r>
      <w:r w:rsidRPr="00FA4054">
        <w:rPr>
          <w:rFonts w:ascii="Arial" w:hAnsi="Arial" w:cs="Arial"/>
          <w:b/>
        </w:rPr>
        <w:t xml:space="preserve"> </w:t>
      </w:r>
    </w:p>
    <w:p w:rsidR="00FA4054" w:rsidRPr="00466B54" w:rsidRDefault="00FA4054" w:rsidP="00FA4054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466B54">
        <w:rPr>
          <w:rStyle w:val="mw-headline"/>
          <w:rFonts w:ascii="Arial" w:hAnsi="Arial" w:cs="Arial"/>
          <w:color w:val="FF0000"/>
          <w:sz w:val="28"/>
          <w:szCs w:val="28"/>
        </w:rPr>
        <w:t xml:space="preserve">Las traducciones de </w:t>
      </w:r>
      <w:proofErr w:type="spellStart"/>
      <w:r w:rsidRPr="00466B54">
        <w:rPr>
          <w:rStyle w:val="mw-headline"/>
          <w:rFonts w:ascii="Arial" w:hAnsi="Arial" w:cs="Arial"/>
          <w:color w:val="FF0000"/>
          <w:sz w:val="28"/>
          <w:szCs w:val="28"/>
        </w:rPr>
        <w:t>Gundissalinus</w:t>
      </w:r>
      <w:proofErr w:type="spellEnd"/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A4054" w:rsidRPr="00FA4054">
        <w:rPr>
          <w:rFonts w:ascii="Arial" w:hAnsi="Arial" w:cs="Arial"/>
          <w:b/>
        </w:rPr>
        <w:t xml:space="preserve">Junto a </w:t>
      </w:r>
      <w:proofErr w:type="spellStart"/>
      <w:r w:rsidR="00FA4054" w:rsidRPr="00FA4054">
        <w:rPr>
          <w:rFonts w:ascii="Arial" w:hAnsi="Arial" w:cs="Arial"/>
          <w:b/>
        </w:rPr>
        <w:t>Avendauth</w:t>
      </w:r>
      <w:proofErr w:type="spellEnd"/>
      <w:r w:rsidR="00FA4054" w:rsidRPr="00FA4054">
        <w:rPr>
          <w:rFonts w:ascii="Arial" w:hAnsi="Arial" w:cs="Arial"/>
          <w:b/>
        </w:rPr>
        <w:t xml:space="preserve">, o sea Abraham ibn </w:t>
      </w:r>
      <w:proofErr w:type="spellStart"/>
      <w:r w:rsidR="00FA4054" w:rsidRPr="00FA4054">
        <w:rPr>
          <w:rFonts w:ascii="Arial" w:hAnsi="Arial" w:cs="Arial"/>
          <w:b/>
        </w:rPr>
        <w:t>Dawud</w:t>
      </w:r>
      <w:proofErr w:type="spellEnd"/>
      <w:r w:rsidR="00FA4054" w:rsidRPr="00FA4054">
        <w:rPr>
          <w:rFonts w:ascii="Arial" w:hAnsi="Arial" w:cs="Arial"/>
          <w:b/>
        </w:rPr>
        <w:t xml:space="preserve">, y a </w:t>
      </w:r>
      <w:proofErr w:type="spellStart"/>
      <w:r w:rsidR="00FA4054" w:rsidRPr="00FA4054">
        <w:rPr>
          <w:rFonts w:ascii="Arial" w:hAnsi="Arial" w:cs="Arial"/>
          <w:b/>
        </w:rPr>
        <w:t>Iohannes</w:t>
      </w:r>
      <w:proofErr w:type="spellEnd"/>
      <w:r w:rsidR="00FA4054" w:rsidRPr="00FA4054">
        <w:rPr>
          <w:rFonts w:ascii="Arial" w:hAnsi="Arial" w:cs="Arial"/>
          <w:b/>
        </w:rPr>
        <w:t xml:space="preserve"> </w:t>
      </w:r>
      <w:proofErr w:type="spellStart"/>
      <w:r w:rsidR="00FA4054" w:rsidRPr="00FA4054">
        <w:rPr>
          <w:rFonts w:ascii="Arial" w:hAnsi="Arial" w:cs="Arial"/>
          <w:b/>
        </w:rPr>
        <w:t>Hispanus</w:t>
      </w:r>
      <w:proofErr w:type="spellEnd"/>
      <w:r w:rsidR="00FA4054" w:rsidRPr="00FA4054">
        <w:rPr>
          <w:rFonts w:ascii="Arial" w:hAnsi="Arial" w:cs="Arial"/>
          <w:b/>
        </w:rPr>
        <w:t xml:space="preserve">,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 tradujo alrededor de veinte obras filosóficas del árabe al latín, que marcaron de manera dirimente el pasaje del platonismo al aristotelismo típico de la especulación latina del siglo XIII. </w:t>
      </w:r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</w:p>
    <w:p w:rsidR="00FA4054" w:rsidRPr="00FA4054" w:rsidRDefault="00466B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FA4054" w:rsidRPr="00FA4054">
        <w:rPr>
          <w:rFonts w:ascii="Arial" w:hAnsi="Arial" w:cs="Arial"/>
          <w:b/>
        </w:rPr>
        <w:t xml:space="preserve">Las traducciones tradicionalmente atribuidas a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 son:</w:t>
      </w:r>
      <w:r w:rsidRPr="00FA4054">
        <w:rPr>
          <w:rFonts w:ascii="Arial" w:hAnsi="Arial" w:cs="Arial"/>
          <w:b/>
        </w:rPr>
        <w:t xml:space="preserve"> </w:t>
      </w:r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Alejandro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Afrodisia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intellectu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intellecto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Farabi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intellectu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intellecto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Kindi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intellectu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De anima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seu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sextus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naturalium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convenientia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differentia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subiectorum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Farabi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Exposición del V libro de los Elementa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Euclide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4054">
        <w:rPr>
          <w:rFonts w:ascii="Arial" w:hAnsi="Arial" w:cs="Arial"/>
          <w:b/>
          <w:sz w:val="24"/>
          <w:szCs w:val="24"/>
        </w:rPr>
        <w:t>pseudo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Kindi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introductorius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artem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logicae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4054">
        <w:rPr>
          <w:rFonts w:ascii="Arial" w:hAnsi="Arial" w:cs="Arial"/>
          <w:b/>
          <w:sz w:val="24"/>
          <w:szCs w:val="24"/>
        </w:rPr>
        <w:t>pseudo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Farabi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ortu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scientiarum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Isaac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Israeli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definitionibus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Logica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universalibus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Ghazali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Logica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prima</w:t>
      </w:r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primus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naturalium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tractatus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primus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primus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naturalium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tractatus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secundus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Ghazali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Metaphysica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Ibn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Gabirol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Fons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vitae</w:t>
      </w:r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A4054">
        <w:rPr>
          <w:rFonts w:ascii="Arial" w:hAnsi="Arial" w:cs="Arial"/>
          <w:b/>
          <w:sz w:val="24"/>
          <w:szCs w:val="24"/>
        </w:rPr>
        <w:t>pseudo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-Avicena,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caeli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mundi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Farabi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exercitationis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ad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viam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felicitatis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>Al-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Farabi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Fontes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quaestionum</w:t>
      </w:r>
      <w:proofErr w:type="spellEnd"/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Prologus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discipuli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capitula</w:t>
      </w:r>
    </w:p>
    <w:p w:rsidR="00FA4054" w:rsidRPr="00FA4054" w:rsidRDefault="00FA4054" w:rsidP="00FA40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Avicena,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viribus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cordis</w:t>
      </w:r>
      <w:proofErr w:type="spellEnd"/>
    </w:p>
    <w:p w:rsidR="00FA4054" w:rsidRPr="00466B54" w:rsidRDefault="00FA4054" w:rsidP="00FA4054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466B54">
        <w:rPr>
          <w:rStyle w:val="mw-headline"/>
          <w:rFonts w:ascii="Arial" w:hAnsi="Arial" w:cs="Arial"/>
          <w:color w:val="FF0000"/>
          <w:sz w:val="24"/>
          <w:szCs w:val="24"/>
        </w:rPr>
        <w:t xml:space="preserve">Las obras filosóficas de </w:t>
      </w:r>
      <w:proofErr w:type="spellStart"/>
      <w:r w:rsidRPr="00466B54">
        <w:rPr>
          <w:rStyle w:val="mw-headline"/>
          <w:rFonts w:ascii="Arial" w:hAnsi="Arial" w:cs="Arial"/>
          <w:color w:val="FF0000"/>
          <w:sz w:val="24"/>
          <w:szCs w:val="24"/>
        </w:rPr>
        <w:t>Gundissalinus</w:t>
      </w:r>
      <w:proofErr w:type="spellEnd"/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FA4054" w:rsidRPr="00FA4054">
        <w:rPr>
          <w:rFonts w:ascii="Arial" w:hAnsi="Arial" w:cs="Arial"/>
          <w:b/>
        </w:rPr>
        <w:t>Dominicus</w:t>
      </w:r>
      <w:proofErr w:type="spellEnd"/>
      <w:r w:rsidR="00FA4054" w:rsidRPr="00FA4054">
        <w:rPr>
          <w:rFonts w:ascii="Arial" w:hAnsi="Arial" w:cs="Arial"/>
          <w:b/>
        </w:rPr>
        <w:t xml:space="preserve">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 escribió también cinco obras filosóficas, en las cuales acoge las filosofías </w:t>
      </w:r>
      <w:proofErr w:type="spellStart"/>
      <w:r w:rsidR="00FA4054" w:rsidRPr="00FA4054">
        <w:rPr>
          <w:rFonts w:ascii="Arial" w:hAnsi="Arial" w:cs="Arial"/>
          <w:b/>
        </w:rPr>
        <w:t>aviceniana</w:t>
      </w:r>
      <w:proofErr w:type="spellEnd"/>
      <w:r w:rsidR="00FA4054" w:rsidRPr="00FA4054">
        <w:rPr>
          <w:rFonts w:ascii="Arial" w:hAnsi="Arial" w:cs="Arial"/>
          <w:b/>
        </w:rPr>
        <w:t xml:space="preserve"> y </w:t>
      </w:r>
      <w:proofErr w:type="spellStart"/>
      <w:r w:rsidR="00FA4054" w:rsidRPr="00FA4054">
        <w:rPr>
          <w:rFonts w:ascii="Arial" w:hAnsi="Arial" w:cs="Arial"/>
          <w:b/>
        </w:rPr>
        <w:t>gabiroliana</w:t>
      </w:r>
      <w:proofErr w:type="spellEnd"/>
      <w:r w:rsidR="00FA4054" w:rsidRPr="00FA4054">
        <w:rPr>
          <w:rFonts w:ascii="Arial" w:hAnsi="Arial" w:cs="Arial"/>
          <w:b/>
        </w:rPr>
        <w:t xml:space="preserve"> combinándolas con la tradición filosófica latina,</w:t>
      </w:r>
      <w:hyperlink r:id="rId20" w:anchor="cite_note-Cfr_1-7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7</w:t>
        </w:r>
      </w:hyperlink>
      <w:r w:rsidR="00FA4054" w:rsidRPr="00FA4054">
        <w:rPr>
          <w:rFonts w:ascii="Arial" w:hAnsi="Arial" w:cs="Arial"/>
          <w:b/>
        </w:rPr>
        <w:t xml:space="preserve"> y particularmente </w:t>
      </w:r>
      <w:hyperlink r:id="rId21" w:tooltip="Boecio" w:history="1">
        <w:proofErr w:type="spellStart"/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  <w:proofErr w:type="spellEnd"/>
      </w:hyperlink>
      <w:r>
        <w:rPr>
          <w:rFonts w:ascii="Arial" w:hAnsi="Arial" w:cs="Arial"/>
          <w:b/>
        </w:rPr>
        <w:t xml:space="preserve"> </w:t>
      </w:r>
      <w:r w:rsidR="00FA4054" w:rsidRPr="00FA4054">
        <w:rPr>
          <w:rFonts w:ascii="Arial" w:hAnsi="Arial" w:cs="Arial"/>
          <w:b/>
        </w:rPr>
        <w:t xml:space="preserve"> junto a algunos autores de su época, como los filósofos de la </w:t>
      </w:r>
      <w:hyperlink r:id="rId22" w:tooltip="Escuela de Chartres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 xml:space="preserve">Escuela de </w:t>
        </w:r>
        <w:proofErr w:type="spellStart"/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Chartres</w:t>
        </w:r>
        <w:proofErr w:type="spellEnd"/>
      </w:hyperlink>
      <w:r w:rsidR="00FA4054" w:rsidRPr="00FA4054">
        <w:rPr>
          <w:rFonts w:ascii="Arial" w:hAnsi="Arial" w:cs="Arial"/>
          <w:b/>
        </w:rPr>
        <w:t xml:space="preserve"> o </w:t>
      </w:r>
      <w:hyperlink r:id="rId23" w:tooltip="Herman de Carintia (aún no redactado)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Herman de Carintia</w:t>
        </w:r>
      </w:hyperlink>
      <w:r w:rsidR="00FA4054" w:rsidRPr="00FA4054">
        <w:rPr>
          <w:rFonts w:ascii="Arial" w:hAnsi="Arial" w:cs="Arial"/>
          <w:b/>
        </w:rPr>
        <w:t>.</w:t>
      </w:r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A4054" w:rsidRPr="00FA4054">
        <w:rPr>
          <w:rFonts w:ascii="Arial" w:hAnsi="Arial" w:cs="Arial"/>
          <w:b/>
        </w:rPr>
        <w:t xml:space="preserve"> Los tratados </w:t>
      </w:r>
      <w:proofErr w:type="spellStart"/>
      <w:r w:rsidR="00FA4054" w:rsidRPr="00FA4054">
        <w:rPr>
          <w:rFonts w:ascii="Arial" w:hAnsi="Arial" w:cs="Arial"/>
          <w:b/>
        </w:rPr>
        <w:t>gundisalvianos</w:t>
      </w:r>
      <w:proofErr w:type="spellEnd"/>
      <w:r w:rsidR="00FA4054" w:rsidRPr="00FA4054">
        <w:rPr>
          <w:rFonts w:ascii="Arial" w:hAnsi="Arial" w:cs="Arial"/>
          <w:b/>
        </w:rPr>
        <w:t xml:space="preserve"> manifiestan el profundo conocimiento de la filosofía arábigo-hebrea por parte de </w:t>
      </w:r>
      <w:proofErr w:type="spellStart"/>
      <w:r w:rsidR="00FA4054" w:rsidRPr="00FA4054">
        <w:rPr>
          <w:rFonts w:ascii="Arial" w:hAnsi="Arial" w:cs="Arial"/>
          <w:b/>
        </w:rPr>
        <w:t>Gundissalinus</w:t>
      </w:r>
      <w:proofErr w:type="spellEnd"/>
      <w:r w:rsidR="00FA4054" w:rsidRPr="00FA4054">
        <w:rPr>
          <w:rFonts w:ascii="Arial" w:hAnsi="Arial" w:cs="Arial"/>
          <w:b/>
        </w:rPr>
        <w:t xml:space="preserve">, y allí se encuentran las tres disciplinas filosóficas que caracterizan su pensamiento: la </w:t>
      </w:r>
      <w:hyperlink r:id="rId24" w:tooltip="Metafísica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metafísica</w:t>
        </w:r>
      </w:hyperlink>
      <w:r w:rsidR="00FA4054" w:rsidRPr="00FA4054">
        <w:rPr>
          <w:rFonts w:ascii="Arial" w:hAnsi="Arial" w:cs="Arial"/>
          <w:b/>
        </w:rPr>
        <w:t xml:space="preserve">, la </w:t>
      </w:r>
      <w:hyperlink r:id="rId25" w:tooltip="Epistemología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epistemología</w:t>
        </w:r>
      </w:hyperlink>
      <w:r w:rsidR="00FA4054" w:rsidRPr="00FA4054">
        <w:rPr>
          <w:rFonts w:ascii="Arial" w:hAnsi="Arial" w:cs="Arial"/>
          <w:b/>
        </w:rPr>
        <w:t xml:space="preserve"> y la </w:t>
      </w:r>
      <w:hyperlink r:id="rId26" w:tooltip="Psicología" w:history="1">
        <w:r w:rsidR="00FA4054" w:rsidRPr="00FA4054">
          <w:rPr>
            <w:rStyle w:val="Hipervnculo"/>
            <w:rFonts w:ascii="Arial" w:hAnsi="Arial" w:cs="Arial"/>
            <w:b/>
            <w:color w:val="auto"/>
            <w:u w:val="none"/>
          </w:rPr>
          <w:t>psicología</w:t>
        </w:r>
      </w:hyperlink>
      <w:r w:rsidR="00FA4054" w:rsidRPr="00FA4054">
        <w:rPr>
          <w:rFonts w:ascii="Arial" w:hAnsi="Arial" w:cs="Arial"/>
          <w:b/>
        </w:rPr>
        <w:t xml:space="preserve">. </w:t>
      </w:r>
    </w:p>
    <w:p w:rsidR="00FA4054" w:rsidRPr="00FA4054" w:rsidRDefault="00FA4054" w:rsidP="00FA4054">
      <w:pPr>
        <w:pStyle w:val="NormalWeb"/>
        <w:jc w:val="both"/>
        <w:rPr>
          <w:rFonts w:ascii="Arial" w:hAnsi="Arial" w:cs="Arial"/>
          <w:b/>
        </w:rPr>
      </w:pPr>
      <w:r w:rsidRPr="00FA4054">
        <w:rPr>
          <w:rFonts w:ascii="Arial" w:hAnsi="Arial" w:cs="Arial"/>
          <w:b/>
        </w:rPr>
        <w:t xml:space="preserve">Los cinco tratados de </w:t>
      </w:r>
      <w:proofErr w:type="spellStart"/>
      <w:r w:rsidRPr="00FA4054">
        <w:rPr>
          <w:rFonts w:ascii="Arial" w:hAnsi="Arial" w:cs="Arial"/>
          <w:b/>
        </w:rPr>
        <w:t>Dominicus</w:t>
      </w:r>
      <w:proofErr w:type="spellEnd"/>
      <w:r w:rsidRPr="00FA4054">
        <w:rPr>
          <w:rFonts w:ascii="Arial" w:hAnsi="Arial" w:cs="Arial"/>
          <w:b/>
        </w:rPr>
        <w:t xml:space="preserve"> </w:t>
      </w:r>
      <w:proofErr w:type="spellStart"/>
      <w:r w:rsidRPr="00FA4054">
        <w:rPr>
          <w:rFonts w:ascii="Arial" w:hAnsi="Arial" w:cs="Arial"/>
          <w:b/>
        </w:rPr>
        <w:t>Gundissalinus</w:t>
      </w:r>
      <w:proofErr w:type="spellEnd"/>
      <w:r w:rsidRPr="00FA4054">
        <w:rPr>
          <w:rFonts w:ascii="Arial" w:hAnsi="Arial" w:cs="Arial"/>
          <w:b/>
        </w:rPr>
        <w:t xml:space="preserve"> son:</w:t>
      </w:r>
    </w:p>
    <w:p w:rsidR="00FA4054" w:rsidRPr="00FA4054" w:rsidRDefault="00FA4054" w:rsidP="00FA40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divisione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philosophiae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– es un tratado epistemológico en el que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propone su división de la filosofía en las varias disciplinas científicas,</w:t>
      </w:r>
      <w:hyperlink r:id="rId27" w:anchor="cite_note-11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vertAlign w:val="superscript"/>
          </w:rPr>
          <w:t>11</w:t>
        </w:r>
      </w:hyperlink>
      <w:r w:rsidRPr="00FA4054">
        <w:rPr>
          <w:rFonts w:ascii="Arial" w:hAnsi="Arial" w:cs="Arial"/>
          <w:b/>
          <w:sz w:val="24"/>
          <w:szCs w:val="24"/>
        </w:rPr>
        <w:t xml:space="preserve"> estructuradas jerárquicamente. En esta obra,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combina las divisiones de </w:t>
      </w:r>
      <w:hyperlink r:id="rId28" w:tooltip="Al-Farabi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al-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Farabi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 xml:space="preserve"> y </w:t>
      </w:r>
      <w:hyperlink r:id="rId29" w:tooltip="Avicena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Avicena</w:t>
        </w:r>
      </w:hyperlink>
      <w:r w:rsidRPr="00FA4054">
        <w:rPr>
          <w:rFonts w:ascii="Arial" w:hAnsi="Arial" w:cs="Arial"/>
          <w:b/>
          <w:sz w:val="24"/>
          <w:szCs w:val="24"/>
        </w:rPr>
        <w:t xml:space="preserve"> con las clasificaciones del saber de </w:t>
      </w:r>
      <w:hyperlink r:id="rId30" w:tooltip="Isidoro de Sevilla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Isidoro de Sevilla</w:t>
        </w:r>
      </w:hyperlink>
      <w:r w:rsidRPr="00FA4054">
        <w:rPr>
          <w:rFonts w:ascii="Arial" w:hAnsi="Arial" w:cs="Arial"/>
          <w:b/>
          <w:sz w:val="24"/>
          <w:szCs w:val="24"/>
        </w:rPr>
        <w:t xml:space="preserve"> y </w:t>
      </w:r>
      <w:hyperlink r:id="rId31" w:tooltip="Boecio" w:history="1"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Boecio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>. Tuvo una proficua difusión y recepción en tierra latina.</w:t>
      </w:r>
    </w:p>
    <w:p w:rsidR="00FA4054" w:rsidRPr="00FA4054" w:rsidRDefault="00FA4054" w:rsidP="00FA40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scientiis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– se trata de una revisión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gundisalviana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la obra homónima de </w:t>
      </w:r>
      <w:hyperlink r:id="rId32" w:tooltip="Al-Farabi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al-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Farabi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 xml:space="preserve">, muy parecida al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divisione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si bien este último manifiesta un nivel más elevado de análisis filosófico y recepción crítica de las fuentes latinas</w:t>
      </w:r>
    </w:p>
    <w:p w:rsidR="00FA4054" w:rsidRPr="00FA4054" w:rsidRDefault="00FA4054" w:rsidP="00FA40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lastRenderedPageBreak/>
        <w:t xml:space="preserve">De anima – el De anima es un tratado de psicología donde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acoge principalmente el De anima de </w:t>
      </w:r>
      <w:hyperlink r:id="rId33" w:tooltip="Avicena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Avicena</w:t>
        </w:r>
      </w:hyperlink>
      <w:r w:rsidRPr="00FA4054">
        <w:rPr>
          <w:rFonts w:ascii="Arial" w:hAnsi="Arial" w:cs="Arial"/>
          <w:b/>
          <w:sz w:val="24"/>
          <w:szCs w:val="24"/>
        </w:rPr>
        <w:t xml:space="preserve">, a menudo modificando los resultados especulativos que podían resultar problemáticos para la reflexión latina, y el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Fons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Vitae de </w:t>
      </w:r>
      <w:hyperlink r:id="rId34" w:tooltip="Ibn Gabirol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ibn 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Gabirol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>.</w:t>
      </w:r>
      <w:r w:rsidR="00466B54" w:rsidRPr="00FA4054">
        <w:rPr>
          <w:rFonts w:ascii="Arial" w:hAnsi="Arial" w:cs="Arial"/>
          <w:b/>
          <w:sz w:val="24"/>
          <w:szCs w:val="24"/>
        </w:rPr>
        <w:t xml:space="preserve"> </w:t>
      </w:r>
    </w:p>
    <w:p w:rsidR="00FA4054" w:rsidRPr="00FA4054" w:rsidRDefault="00FA4054" w:rsidP="00FA40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unitate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uno – breve tratado metafísico y ontológico donde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examina la doctrina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onto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-metafísica y teológica del </w:t>
      </w:r>
      <w:hyperlink r:id="rId35" w:tooltip="Uno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Uno</w:t>
        </w:r>
      </w:hyperlink>
      <w:r w:rsidRPr="00FA4054">
        <w:rPr>
          <w:rFonts w:ascii="Arial" w:hAnsi="Arial" w:cs="Arial"/>
          <w:b/>
          <w:sz w:val="24"/>
          <w:szCs w:val="24"/>
        </w:rPr>
        <w:t xml:space="preserve">, siguiendo la tradición neoplatónica arábigo-hebrea y latina, y en particular la perspectiva de </w:t>
      </w:r>
      <w:hyperlink r:id="rId36" w:tooltip="Ibn Gabirol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ibn 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Gabirol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>.</w:t>
      </w:r>
      <w:r w:rsidR="00466B54" w:rsidRPr="00FA4054">
        <w:rPr>
          <w:rFonts w:ascii="Arial" w:hAnsi="Arial" w:cs="Arial"/>
          <w:b/>
          <w:sz w:val="24"/>
          <w:szCs w:val="24"/>
        </w:rPr>
        <w:t xml:space="preserve"> </w:t>
      </w:r>
    </w:p>
    <w:p w:rsidR="00FA4054" w:rsidRPr="00FA4054" w:rsidRDefault="00FA4054" w:rsidP="00FA405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processione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mundi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– obra de la madurez, aquí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analiza la generación de la creación a partir de la causa prima, siguiendo las varias distinciones lógico-ontológicas que se especifican en la progresivas uniones de materia y forma, hasta la generación de las criaturas sensibles. En este tratado desarrolla un papel fundamental la doctrina del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hilemorfismo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universal heredada de </w:t>
      </w:r>
      <w:hyperlink r:id="rId37" w:tooltip="Ibn Gabirol" w:history="1"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ibn </w:t>
        </w:r>
        <w:proofErr w:type="spellStart"/>
        <w:r w:rsidRPr="00FA405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Gabirol</w:t>
        </w:r>
        <w:proofErr w:type="spellEnd"/>
      </w:hyperlink>
      <w:r w:rsidRPr="00FA4054">
        <w:rPr>
          <w:rFonts w:ascii="Arial" w:hAnsi="Arial" w:cs="Arial"/>
          <w:b/>
          <w:sz w:val="24"/>
          <w:szCs w:val="24"/>
        </w:rPr>
        <w:t xml:space="preserve"> y de la cual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es uno de los principales partidarios.</w:t>
      </w:r>
      <w:r w:rsidR="00466B54" w:rsidRPr="00FA4054">
        <w:rPr>
          <w:rFonts w:ascii="Arial" w:hAnsi="Arial" w:cs="Arial"/>
          <w:b/>
          <w:sz w:val="24"/>
          <w:szCs w:val="24"/>
        </w:rPr>
        <w:t xml:space="preserve"> </w:t>
      </w:r>
    </w:p>
    <w:p w:rsidR="00FA4054" w:rsidRPr="00FA4054" w:rsidRDefault="00FA4054" w:rsidP="00FA4054">
      <w:pPr>
        <w:pStyle w:val="NormalWeb"/>
        <w:jc w:val="both"/>
        <w:rPr>
          <w:rFonts w:ascii="Arial" w:hAnsi="Arial" w:cs="Arial"/>
          <w:b/>
        </w:rPr>
      </w:pPr>
      <w:r w:rsidRPr="00FA4054">
        <w:rPr>
          <w:rFonts w:ascii="Arial" w:hAnsi="Arial" w:cs="Arial"/>
          <w:b/>
        </w:rPr>
        <w:t xml:space="preserve">Además de estos cinco tratados, en los que los estudiosos concuerdan, ha sido tradicionalmente atribuido a </w:t>
      </w:r>
      <w:proofErr w:type="spellStart"/>
      <w:r w:rsidRPr="00FA4054">
        <w:rPr>
          <w:rFonts w:ascii="Arial" w:hAnsi="Arial" w:cs="Arial"/>
          <w:b/>
        </w:rPr>
        <w:t>Gundissalinus</w:t>
      </w:r>
      <w:proofErr w:type="spellEnd"/>
      <w:r w:rsidRPr="00FA4054">
        <w:rPr>
          <w:rFonts w:ascii="Arial" w:hAnsi="Arial" w:cs="Arial"/>
          <w:b/>
        </w:rPr>
        <w:t xml:space="preserve"> también el De </w:t>
      </w:r>
      <w:proofErr w:type="spellStart"/>
      <w:r w:rsidRPr="00FA4054">
        <w:rPr>
          <w:rFonts w:ascii="Arial" w:hAnsi="Arial" w:cs="Arial"/>
          <w:b/>
        </w:rPr>
        <w:t>immortalitate</w:t>
      </w:r>
      <w:proofErr w:type="spellEnd"/>
      <w:r w:rsidRPr="00FA4054">
        <w:rPr>
          <w:rFonts w:ascii="Arial" w:hAnsi="Arial" w:cs="Arial"/>
          <w:b/>
        </w:rPr>
        <w:t xml:space="preserve"> </w:t>
      </w:r>
      <w:proofErr w:type="spellStart"/>
      <w:r w:rsidRPr="00FA4054">
        <w:rPr>
          <w:rFonts w:ascii="Arial" w:hAnsi="Arial" w:cs="Arial"/>
          <w:b/>
        </w:rPr>
        <w:t>animae</w:t>
      </w:r>
      <w:proofErr w:type="spellEnd"/>
      <w:r w:rsidRPr="00FA4054">
        <w:rPr>
          <w:rFonts w:ascii="Arial" w:hAnsi="Arial" w:cs="Arial"/>
          <w:b/>
        </w:rPr>
        <w:t xml:space="preserve">, texto que la mayoría de la comunidad académica atribuye sin embargo a </w:t>
      </w:r>
      <w:hyperlink r:id="rId38" w:tooltip="Guillermo de Alvernia (aún no redactado)" w:history="1">
        <w:r w:rsidRPr="00FA4054">
          <w:rPr>
            <w:rStyle w:val="Hipervnculo"/>
            <w:rFonts w:ascii="Arial" w:hAnsi="Arial" w:cs="Arial"/>
            <w:b/>
            <w:color w:val="auto"/>
            <w:u w:val="none"/>
          </w:rPr>
          <w:t>Guillermo de Alvernia</w:t>
        </w:r>
      </w:hyperlink>
      <w:r w:rsidRPr="00FA4054">
        <w:rPr>
          <w:rFonts w:ascii="Arial" w:hAnsi="Arial" w:cs="Arial"/>
          <w:b/>
        </w:rPr>
        <w:t xml:space="preserve">. Las obras de </w:t>
      </w:r>
      <w:proofErr w:type="spellStart"/>
      <w:r w:rsidRPr="00FA4054">
        <w:rPr>
          <w:rFonts w:ascii="Arial" w:hAnsi="Arial" w:cs="Arial"/>
          <w:b/>
        </w:rPr>
        <w:t>Gundissalinus</w:t>
      </w:r>
      <w:proofErr w:type="spellEnd"/>
      <w:r w:rsidRPr="00FA4054">
        <w:rPr>
          <w:rFonts w:ascii="Arial" w:hAnsi="Arial" w:cs="Arial"/>
          <w:b/>
        </w:rPr>
        <w:t xml:space="preserve"> tuvieron una buena recepción tanto en ámbito filosófico latino, como en el hebreo.</w:t>
      </w:r>
      <w:r w:rsidR="00466B54" w:rsidRPr="00FA4054">
        <w:rPr>
          <w:rFonts w:ascii="Arial" w:hAnsi="Arial" w:cs="Arial"/>
          <w:b/>
        </w:rPr>
        <w:t xml:space="preserve"> </w:t>
      </w:r>
    </w:p>
    <w:p w:rsidR="00FA4054" w:rsidRPr="00466B54" w:rsidRDefault="00FA4054" w:rsidP="00FA4054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466B54">
        <w:rPr>
          <w:rStyle w:val="mw-headline"/>
          <w:rFonts w:ascii="Arial" w:hAnsi="Arial" w:cs="Arial"/>
          <w:color w:val="FF0000"/>
          <w:sz w:val="24"/>
          <w:szCs w:val="24"/>
        </w:rPr>
        <w:t xml:space="preserve">Ediciones de los textos </w:t>
      </w:r>
      <w:proofErr w:type="spellStart"/>
      <w:r w:rsidRPr="00466B54">
        <w:rPr>
          <w:rStyle w:val="mw-headline"/>
          <w:rFonts w:ascii="Arial" w:hAnsi="Arial" w:cs="Arial"/>
          <w:color w:val="FF0000"/>
          <w:sz w:val="24"/>
          <w:szCs w:val="24"/>
        </w:rPr>
        <w:t>gundisalvianos</w:t>
      </w:r>
      <w:proofErr w:type="spellEnd"/>
    </w:p>
    <w:p w:rsidR="00FA4054" w:rsidRPr="00466B54" w:rsidRDefault="00FA4054" w:rsidP="00FA4054">
      <w:pPr>
        <w:pStyle w:val="NormalWeb"/>
        <w:jc w:val="both"/>
        <w:rPr>
          <w:rFonts w:ascii="Arial" w:hAnsi="Arial" w:cs="Arial"/>
          <w:b/>
          <w:color w:val="0070C0"/>
        </w:rPr>
      </w:pPr>
      <w:r w:rsidRPr="00466B54">
        <w:rPr>
          <w:rFonts w:ascii="Arial" w:hAnsi="Arial" w:cs="Arial"/>
          <w:b/>
          <w:color w:val="0070C0"/>
        </w:rPr>
        <w:t>Tratados psicológicos</w:t>
      </w:r>
    </w:p>
    <w:p w:rsidR="00FA4054" w:rsidRPr="00FA4054" w:rsidRDefault="00FA4054" w:rsidP="00FA40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Dominici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Gundisalini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anima ex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dictis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plurium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philosophorum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collectus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en De anima of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Dominicus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por J. T.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Muckle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«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Maedieval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Studies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» 2 (1940), pp. 23-103.</w:t>
      </w:r>
    </w:p>
    <w:p w:rsidR="00FA4054" w:rsidRPr="00FA4054" w:rsidRDefault="00FA4054" w:rsidP="00FA40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El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Tractatvs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anima atribuido a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Dominicvs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Gvndi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[s]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salinvs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edición crítica por C. Alonso del Real – M. J. Soto Bruna, Pamplona 2009.</w:t>
      </w:r>
    </w:p>
    <w:p w:rsidR="00FA4054" w:rsidRPr="00FA4054" w:rsidRDefault="00FA4054" w:rsidP="00FA40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Des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Dominicus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Gundissalinus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Schrift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von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Unsterblichkeit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Seele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por G.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Bülow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«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Beiträge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zur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Geschichte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und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Theologie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Mittelalters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» II 3,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Münster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1897.</w:t>
      </w:r>
    </w:p>
    <w:p w:rsidR="00FA4054" w:rsidRPr="00466B54" w:rsidRDefault="00FA4054" w:rsidP="00FA4054">
      <w:pPr>
        <w:pStyle w:val="NormalWeb"/>
        <w:jc w:val="both"/>
        <w:rPr>
          <w:rFonts w:ascii="Arial" w:hAnsi="Arial" w:cs="Arial"/>
          <w:b/>
          <w:color w:val="0070C0"/>
        </w:rPr>
      </w:pPr>
      <w:r w:rsidRPr="00466B54">
        <w:rPr>
          <w:rFonts w:ascii="Arial" w:hAnsi="Arial" w:cs="Arial"/>
          <w:b/>
          <w:color w:val="0070C0"/>
        </w:rPr>
        <w:t>Tratados epistemológicos</w:t>
      </w:r>
    </w:p>
    <w:p w:rsidR="00FA4054" w:rsidRPr="00FA4054" w:rsidRDefault="00FA4054" w:rsidP="00FA40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divisione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philosophiae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por L.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Baur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«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Beiträge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zur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Geschichte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und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Theologie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Mittelalters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», IV, 2 (1903), pp. 3-142.</w:t>
      </w:r>
    </w:p>
    <w:p w:rsidR="00FA4054" w:rsidRPr="00FA4054" w:rsidRDefault="00FA4054" w:rsidP="00FA40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scientiis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por M. Alonso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Alonso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Madrid-Granada 1954.</w:t>
      </w:r>
    </w:p>
    <w:p w:rsidR="00FA4054" w:rsidRPr="00FA4054" w:rsidRDefault="00FA4054" w:rsidP="00FA40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scientiis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secundum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versionem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Dominici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a cura de J. Schneider,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Freiburg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im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Breisgau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2006.</w:t>
      </w:r>
    </w:p>
    <w:p w:rsidR="00FA4054" w:rsidRPr="00FA4054" w:rsidRDefault="00FA4054" w:rsidP="00FA40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Über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Einteilung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por A.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Fidora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y D. Werner,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Freiburg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Basel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Wien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2007.</w:t>
      </w:r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</w:p>
    <w:p w:rsidR="00466B54" w:rsidRDefault="00466B54" w:rsidP="00FA4054">
      <w:pPr>
        <w:pStyle w:val="NormalWeb"/>
        <w:jc w:val="both"/>
        <w:rPr>
          <w:rFonts w:ascii="Arial" w:hAnsi="Arial" w:cs="Arial"/>
          <w:b/>
        </w:rPr>
      </w:pPr>
    </w:p>
    <w:p w:rsidR="00FA4054" w:rsidRPr="00466B54" w:rsidRDefault="00FA4054" w:rsidP="00FA4054">
      <w:pPr>
        <w:pStyle w:val="NormalWeb"/>
        <w:jc w:val="both"/>
        <w:rPr>
          <w:rFonts w:ascii="Arial" w:hAnsi="Arial" w:cs="Arial"/>
          <w:b/>
          <w:color w:val="0070C0"/>
        </w:rPr>
      </w:pPr>
      <w:r w:rsidRPr="00466B54">
        <w:rPr>
          <w:rFonts w:ascii="Arial" w:hAnsi="Arial" w:cs="Arial"/>
          <w:b/>
          <w:color w:val="0070C0"/>
        </w:rPr>
        <w:t>Tratados metafísicos</w:t>
      </w:r>
    </w:p>
    <w:p w:rsidR="00FA4054" w:rsidRPr="00FA4054" w:rsidRDefault="00FA4054" w:rsidP="00FA40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processione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mundi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por G.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Bülow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«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Beiträge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zur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Geschichte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der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Philosophie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Mittelalters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», XXIV, 3, 1925, pp. 1-56.</w:t>
      </w:r>
    </w:p>
    <w:p w:rsidR="00FA4054" w:rsidRPr="00FA4054" w:rsidRDefault="00FA4054" w:rsidP="00FA40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processione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mundi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, edición crítica y traducción española por M.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Jesus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Soto Bruna – C. Alonso del Real, Pamplona 1999.</w:t>
      </w:r>
    </w:p>
    <w:p w:rsidR="00FA4054" w:rsidRPr="00FA4054" w:rsidRDefault="00FA4054" w:rsidP="00FA40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4054">
        <w:rPr>
          <w:rFonts w:ascii="Arial" w:hAnsi="Arial" w:cs="Arial"/>
          <w:b/>
          <w:sz w:val="24"/>
          <w:szCs w:val="24"/>
          <w:lang w:val="en-US"/>
        </w:rPr>
        <w:t>D. Gundisalvo, The Procession of the World, traducción inglesa por John A. Laumakis, Milwaukee 2002.</w:t>
      </w:r>
    </w:p>
    <w:p w:rsidR="00FA4054" w:rsidRPr="00FA4054" w:rsidRDefault="00FA4054" w:rsidP="00FA40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A4054">
        <w:rPr>
          <w:rFonts w:ascii="Arial" w:hAnsi="Arial" w:cs="Arial"/>
          <w:b/>
          <w:sz w:val="24"/>
          <w:szCs w:val="24"/>
          <w:lang w:val="en-US"/>
        </w:rPr>
        <w:t>D. Gundisalvo, Die dem Boethius fälschlich zugeschriebene Abhandlung des Dominicus Gundisalvi De unitate, edición crítica por P. Correns, «Beiträge zur Geschichte der Philosophie des Mittelalters», I, 1, 1891, pp. 3-11.</w:t>
      </w:r>
    </w:p>
    <w:p w:rsidR="00FA4054" w:rsidRPr="00FA4054" w:rsidRDefault="00FA4054" w:rsidP="00FA40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4054">
        <w:rPr>
          <w:rFonts w:ascii="Arial" w:hAnsi="Arial" w:cs="Arial"/>
          <w:b/>
          <w:sz w:val="24"/>
          <w:szCs w:val="24"/>
        </w:rPr>
        <w:t xml:space="preserve">D.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Gundisalvo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El ‘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Liber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unitate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 xml:space="preserve"> et uno’, edición crítica por M. Alonso </w:t>
      </w:r>
      <w:proofErr w:type="spellStart"/>
      <w:r w:rsidRPr="00FA4054">
        <w:rPr>
          <w:rFonts w:ascii="Arial" w:hAnsi="Arial" w:cs="Arial"/>
          <w:b/>
          <w:sz w:val="24"/>
          <w:szCs w:val="24"/>
        </w:rPr>
        <w:t>Alonso</w:t>
      </w:r>
      <w:proofErr w:type="spellEnd"/>
      <w:r w:rsidRPr="00FA4054">
        <w:rPr>
          <w:rFonts w:ascii="Arial" w:hAnsi="Arial" w:cs="Arial"/>
          <w:b/>
          <w:sz w:val="24"/>
          <w:szCs w:val="24"/>
        </w:rPr>
        <w:t>, «Pensamiento» 12 (1956), pp. 65-78.</w:t>
      </w:r>
    </w:p>
    <w:p w:rsidR="00FA4054" w:rsidRPr="00E203C9" w:rsidRDefault="00FA4054" w:rsidP="00FA4054">
      <w:pPr>
        <w:spacing w:after="0"/>
        <w:ind w:left="-426"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829050" cy="2625634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62215" t="29449" r="3583" b="4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2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054" w:rsidRPr="00E203C9" w:rsidSect="00BF0EA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D31"/>
    <w:multiLevelType w:val="multilevel"/>
    <w:tmpl w:val="052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82B9B"/>
    <w:multiLevelType w:val="multilevel"/>
    <w:tmpl w:val="0468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3C5A"/>
    <w:multiLevelType w:val="multilevel"/>
    <w:tmpl w:val="FB6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85274"/>
    <w:multiLevelType w:val="multilevel"/>
    <w:tmpl w:val="D53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396F"/>
    <w:multiLevelType w:val="multilevel"/>
    <w:tmpl w:val="18F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D3E05"/>
    <w:multiLevelType w:val="multilevel"/>
    <w:tmpl w:val="ED4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7EF6"/>
    <w:multiLevelType w:val="multilevel"/>
    <w:tmpl w:val="DD2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0EAD"/>
    <w:rsid w:val="00466B54"/>
    <w:rsid w:val="0066235C"/>
    <w:rsid w:val="00BF0EAD"/>
    <w:rsid w:val="00D231C4"/>
    <w:rsid w:val="00E203C9"/>
    <w:rsid w:val="00F308BA"/>
    <w:rsid w:val="00FA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5C"/>
  </w:style>
  <w:style w:type="paragraph" w:styleId="Ttulo1">
    <w:name w:val="heading 1"/>
    <w:basedOn w:val="Normal"/>
    <w:link w:val="Ttulo1Car"/>
    <w:uiPriority w:val="9"/>
    <w:qFormat/>
    <w:rsid w:val="00BF0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F0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F0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F0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EA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F0EA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F0EA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F0EA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F0EAD"/>
    <w:rPr>
      <w:color w:val="0000FF"/>
      <w:u w:val="single"/>
    </w:rPr>
  </w:style>
  <w:style w:type="character" w:customStyle="1" w:styleId="plainlinks">
    <w:name w:val="plainlinks"/>
    <w:basedOn w:val="Fuentedeprrafopredeter"/>
    <w:rsid w:val="00BF0EAD"/>
  </w:style>
  <w:style w:type="paragraph" w:styleId="NormalWeb">
    <w:name w:val="Normal (Web)"/>
    <w:basedOn w:val="Normal"/>
    <w:uiPriority w:val="99"/>
    <w:semiHidden/>
    <w:unhideWhenUsed/>
    <w:rsid w:val="00BF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BF0EAD"/>
  </w:style>
  <w:style w:type="character" w:customStyle="1" w:styleId="toctext">
    <w:name w:val="toctext"/>
    <w:basedOn w:val="Fuentedeprrafopredeter"/>
    <w:rsid w:val="00BF0EAD"/>
  </w:style>
  <w:style w:type="character" w:customStyle="1" w:styleId="mw-headline">
    <w:name w:val="mw-headline"/>
    <w:basedOn w:val="Fuentedeprrafopredeter"/>
    <w:rsid w:val="00BF0EAD"/>
  </w:style>
  <w:style w:type="paragraph" w:styleId="Textodeglobo">
    <w:name w:val="Balloon Text"/>
    <w:basedOn w:val="Normal"/>
    <w:link w:val="TextodegloboCar"/>
    <w:uiPriority w:val="99"/>
    <w:semiHidden/>
    <w:unhideWhenUsed/>
    <w:rsid w:val="00BF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il%C3%B3sofo" TargetMode="External"/><Relationship Id="rId13" Type="http://schemas.openxmlformats.org/officeDocument/2006/relationships/hyperlink" Target="https://es.wikipedia.org/w/index.php?title=Juan_de_Castelmoron&amp;action=edit&amp;redlink=1" TargetMode="External"/><Relationship Id="rId18" Type="http://schemas.openxmlformats.org/officeDocument/2006/relationships/hyperlink" Target="https://es.wikipedia.org/wiki/Al-Farabi" TargetMode="External"/><Relationship Id="rId26" Type="http://schemas.openxmlformats.org/officeDocument/2006/relationships/hyperlink" Target="https://es.wikipedia.org/wiki/Psicolog%C3%ADa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Boecio" TargetMode="External"/><Relationship Id="rId34" Type="http://schemas.openxmlformats.org/officeDocument/2006/relationships/hyperlink" Target="https://es.wikipedia.org/wiki/Ibn_Gabirol" TargetMode="External"/><Relationship Id="rId7" Type="http://schemas.openxmlformats.org/officeDocument/2006/relationships/hyperlink" Target="https://es.wikipedia.org/wiki/1190" TargetMode="External"/><Relationship Id="rId12" Type="http://schemas.openxmlformats.org/officeDocument/2006/relationships/hyperlink" Target="https://es.wikipedia.org/wiki/Domingo_Gundisalvo" TargetMode="External"/><Relationship Id="rId17" Type="http://schemas.openxmlformats.org/officeDocument/2006/relationships/hyperlink" Target="https://es.wikipedia.org/wiki/Avicena" TargetMode="External"/><Relationship Id="rId25" Type="http://schemas.openxmlformats.org/officeDocument/2006/relationships/hyperlink" Target="https://es.wikipedia.org/wiki/Epistemolog%C3%ADa" TargetMode="External"/><Relationship Id="rId33" Type="http://schemas.openxmlformats.org/officeDocument/2006/relationships/hyperlink" Target="https://es.wikipedia.org/wiki/Avicena" TargetMode="External"/><Relationship Id="rId38" Type="http://schemas.openxmlformats.org/officeDocument/2006/relationships/hyperlink" Target="https://es.wikipedia.org/w/index.php?title=Guillermo_de_Alverni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oledo" TargetMode="External"/><Relationship Id="rId20" Type="http://schemas.openxmlformats.org/officeDocument/2006/relationships/hyperlink" Target="https://es.wikipedia.org/wiki/Domingo_Gundisalvo" TargetMode="External"/><Relationship Id="rId29" Type="http://schemas.openxmlformats.org/officeDocument/2006/relationships/hyperlink" Target="https://es.wikipedia.org/wiki/Avicen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115" TargetMode="External"/><Relationship Id="rId11" Type="http://schemas.openxmlformats.org/officeDocument/2006/relationships/hyperlink" Target="https://es.wikipedia.org/wiki/Toledo" TargetMode="External"/><Relationship Id="rId24" Type="http://schemas.openxmlformats.org/officeDocument/2006/relationships/hyperlink" Target="https://es.wikipedia.org/wiki/Metaf%C3%ADsica" TargetMode="External"/><Relationship Id="rId32" Type="http://schemas.openxmlformats.org/officeDocument/2006/relationships/hyperlink" Target="https://es.wikipedia.org/wiki/Al-Farabi" TargetMode="External"/><Relationship Id="rId37" Type="http://schemas.openxmlformats.org/officeDocument/2006/relationships/hyperlink" Target="https://es.wikipedia.org/wiki/Ibn_Gabiro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Gerardo_de_Cremona" TargetMode="External"/><Relationship Id="rId23" Type="http://schemas.openxmlformats.org/officeDocument/2006/relationships/hyperlink" Target="https://es.wikipedia.org/w/index.php?title=Herman_de_Carintia&amp;action=edit&amp;redlink=1" TargetMode="External"/><Relationship Id="rId28" Type="http://schemas.openxmlformats.org/officeDocument/2006/relationships/hyperlink" Target="https://es.wikipedia.org/wiki/Al-Farabi" TargetMode="External"/><Relationship Id="rId36" Type="http://schemas.openxmlformats.org/officeDocument/2006/relationships/hyperlink" Target="https://es.wikipedia.org/wiki/Ibn_Gabirol" TargetMode="External"/><Relationship Id="rId10" Type="http://schemas.openxmlformats.org/officeDocument/2006/relationships/hyperlink" Target="https://es.wikipedia.org/wiki/Cu%C3%A9llar" TargetMode="External"/><Relationship Id="rId19" Type="http://schemas.openxmlformats.org/officeDocument/2006/relationships/hyperlink" Target="https://es.wikipedia.org/wiki/Ibn_Gabirol" TargetMode="External"/><Relationship Id="rId31" Type="http://schemas.openxmlformats.org/officeDocument/2006/relationships/hyperlink" Target="https://es.wikipedia.org/wiki/Boe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raductor" TargetMode="External"/><Relationship Id="rId14" Type="http://schemas.openxmlformats.org/officeDocument/2006/relationships/hyperlink" Target="https://es.wikipedia.org/wiki/Cerebruno" TargetMode="External"/><Relationship Id="rId22" Type="http://schemas.openxmlformats.org/officeDocument/2006/relationships/hyperlink" Target="https://es.wikipedia.org/wiki/Escuela_de_Chartres" TargetMode="External"/><Relationship Id="rId27" Type="http://schemas.openxmlformats.org/officeDocument/2006/relationships/hyperlink" Target="https://es.wikipedia.org/wiki/Domingo_Gundisalvo" TargetMode="External"/><Relationship Id="rId30" Type="http://schemas.openxmlformats.org/officeDocument/2006/relationships/hyperlink" Target="https://es.wikipedia.org/wiki/Isidoro_de_Sevilla" TargetMode="External"/><Relationship Id="rId35" Type="http://schemas.openxmlformats.org/officeDocument/2006/relationships/hyperlink" Target="https://es.wikipedia.org/wiki/U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2017-04-10T11:36:00Z</dcterms:created>
  <dcterms:modified xsi:type="dcterms:W3CDTF">2017-04-10T11:36:00Z</dcterms:modified>
</cp:coreProperties>
</file>