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8D" w:rsidRDefault="006F3321" w:rsidP="006F3321">
      <w:pPr>
        <w:jc w:val="center"/>
        <w:rPr>
          <w:b/>
          <w:color w:val="FF0000"/>
          <w:sz w:val="36"/>
          <w:szCs w:val="36"/>
        </w:rPr>
      </w:pPr>
      <w:r w:rsidRPr="006F3321">
        <w:rPr>
          <w:b/>
          <w:color w:val="FF0000"/>
          <w:sz w:val="36"/>
          <w:szCs w:val="36"/>
        </w:rPr>
        <w:t>PLEGARIAS LITURGICAS POR LOS DIFUNTOS</w:t>
      </w:r>
    </w:p>
    <w:p w:rsidR="006F3321" w:rsidRDefault="006F3321" w:rsidP="006F3321">
      <w:pPr>
        <w:jc w:val="center"/>
        <w:rPr>
          <w:b/>
          <w:color w:val="FF0000"/>
          <w:sz w:val="36"/>
          <w:szCs w:val="36"/>
        </w:rPr>
      </w:pPr>
    </w:p>
    <w:p w:rsidR="006F3321" w:rsidRPr="006F3321" w:rsidRDefault="006F3321" w:rsidP="006F3321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 xml:space="preserve">Las oraciones y piezas musicales de la misa tradicional como el «Introito» cambian normalmente en función del calendario litúrgico, pero el réquiem es una </w:t>
      </w:r>
      <w:hyperlink r:id="rId6" w:tooltip="Misa votiva (aún no redactado)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misa votiva</w:t>
        </w:r>
      </w:hyperlink>
      <w:r w:rsidRPr="006F3321">
        <w:rPr>
          <w:rFonts w:ascii="Arial" w:hAnsi="Arial" w:cs="Arial"/>
          <w:b/>
          <w:sz w:val="22"/>
          <w:szCs w:val="22"/>
        </w:rPr>
        <w:t>, en la que el texto no ca</w:t>
      </w:r>
      <w:r w:rsidRPr="006F3321">
        <w:rPr>
          <w:rFonts w:ascii="Arial" w:hAnsi="Arial" w:cs="Arial"/>
          <w:b/>
          <w:sz w:val="22"/>
          <w:szCs w:val="22"/>
        </w:rPr>
        <w:t>m</w:t>
      </w:r>
      <w:r w:rsidRPr="006F3321">
        <w:rPr>
          <w:rFonts w:ascii="Arial" w:hAnsi="Arial" w:cs="Arial"/>
          <w:b/>
          <w:sz w:val="22"/>
          <w:szCs w:val="22"/>
        </w:rPr>
        <w:t>bia. Desde el punto de vista del nombre de las partes cantadas, la misa de réquiem difiere de la m</w:t>
      </w:r>
      <w:r w:rsidRPr="006F3321">
        <w:rPr>
          <w:rFonts w:ascii="Arial" w:hAnsi="Arial" w:cs="Arial"/>
          <w:b/>
          <w:sz w:val="22"/>
          <w:szCs w:val="22"/>
        </w:rPr>
        <w:t>i</w:t>
      </w:r>
      <w:r w:rsidRPr="006F3321">
        <w:rPr>
          <w:rFonts w:ascii="Arial" w:hAnsi="Arial" w:cs="Arial"/>
          <w:b/>
          <w:sz w:val="22"/>
          <w:szCs w:val="22"/>
        </w:rPr>
        <w:t>sa usual en el hecho de que ciertas partes gozosa son suprimidas como el «Gloria», el «Credo» y el «Aleluya» (que se rempl</w:t>
      </w:r>
      <w:r w:rsidRPr="006F3321">
        <w:rPr>
          <w:rFonts w:ascii="Arial" w:hAnsi="Arial" w:cs="Arial"/>
          <w:b/>
          <w:sz w:val="22"/>
          <w:szCs w:val="22"/>
        </w:rPr>
        <w:t>a</w:t>
      </w:r>
      <w:r w:rsidRPr="006F3321">
        <w:rPr>
          <w:rFonts w:ascii="Arial" w:hAnsi="Arial" w:cs="Arial"/>
          <w:b/>
          <w:sz w:val="22"/>
          <w:szCs w:val="22"/>
        </w:rPr>
        <w:t>zaba por el «Tracto») y por el hecho de la existencia de una secuencia, el «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fldChar w:fldCharType="begin"/>
      </w:r>
      <w:r w:rsidRPr="006F3321">
        <w:rPr>
          <w:rFonts w:ascii="Arial" w:hAnsi="Arial" w:cs="Arial"/>
          <w:b/>
          <w:sz w:val="22"/>
          <w:szCs w:val="22"/>
        </w:rPr>
        <w:instrText xml:space="preserve"> HYPERLINK "https://es.wikipedia.org/wiki/Dies_Irae" \o "Dies Irae" </w:instrText>
      </w:r>
      <w:r w:rsidRPr="006F3321">
        <w:rPr>
          <w:rFonts w:ascii="Arial" w:hAnsi="Arial" w:cs="Arial"/>
          <w:b/>
          <w:sz w:val="22"/>
          <w:szCs w:val="22"/>
        </w:rPr>
        <w:fldChar w:fldCharType="separate"/>
      </w:r>
      <w:r w:rsidRPr="006F3321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>Dies</w:t>
      </w:r>
      <w:proofErr w:type="spellEnd"/>
      <w:r w:rsidRPr="006F3321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 xml:space="preserve"> </w:t>
      </w:r>
      <w:proofErr w:type="spellStart"/>
      <w:r w:rsidRPr="006F3321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>Irae</w:t>
      </w:r>
      <w:proofErr w:type="spellEnd"/>
      <w:r w:rsidRPr="006F3321">
        <w:rPr>
          <w:rFonts w:ascii="Arial" w:hAnsi="Arial" w:cs="Arial"/>
          <w:b/>
          <w:sz w:val="22"/>
          <w:szCs w:val="22"/>
        </w:rPr>
        <w:fldChar w:fldCharType="end"/>
      </w:r>
      <w:r w:rsidRPr="006F3321">
        <w:rPr>
          <w:rFonts w:ascii="Arial" w:hAnsi="Arial" w:cs="Arial"/>
          <w:b/>
          <w:sz w:val="22"/>
          <w:szCs w:val="22"/>
        </w:rPr>
        <w:t>». Es de destacar que en canto gregoriano, el «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fldChar w:fldCharType="begin"/>
      </w:r>
      <w:r w:rsidRPr="006F3321">
        <w:rPr>
          <w:rFonts w:ascii="Arial" w:hAnsi="Arial" w:cs="Arial"/>
          <w:b/>
          <w:sz w:val="22"/>
          <w:szCs w:val="22"/>
        </w:rPr>
        <w:instrText xml:space="preserve"> HYPERLINK "https://es.wikipedia.org/wiki/Kyrie_Eleison" \o "Kyrie Eleison" </w:instrText>
      </w:r>
      <w:r w:rsidRPr="006F3321">
        <w:rPr>
          <w:rFonts w:ascii="Arial" w:hAnsi="Arial" w:cs="Arial"/>
          <w:b/>
          <w:sz w:val="22"/>
          <w:szCs w:val="22"/>
        </w:rPr>
        <w:fldChar w:fldCharType="separate"/>
      </w:r>
      <w:r w:rsidRPr="006F3321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>Kyrie</w:t>
      </w:r>
      <w:proofErr w:type="spellEnd"/>
      <w:r w:rsidRPr="006F3321">
        <w:rPr>
          <w:rFonts w:ascii="Arial" w:hAnsi="Arial" w:cs="Arial"/>
          <w:b/>
          <w:sz w:val="22"/>
          <w:szCs w:val="22"/>
        </w:rPr>
        <w:fldChar w:fldCharType="end"/>
      </w:r>
      <w:r w:rsidRPr="006F3321">
        <w:rPr>
          <w:rFonts w:ascii="Arial" w:hAnsi="Arial" w:cs="Arial"/>
          <w:b/>
          <w:sz w:val="22"/>
          <w:szCs w:val="22"/>
        </w:rPr>
        <w:t>» y el «</w:t>
      </w:r>
      <w:hyperlink r:id="rId7" w:tooltip="Sanctus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Sanctus</w:t>
        </w:r>
      </w:hyperlink>
      <w:r w:rsidRPr="006F3321">
        <w:rPr>
          <w:rFonts w:ascii="Arial" w:hAnsi="Arial" w:cs="Arial"/>
          <w:b/>
          <w:sz w:val="22"/>
          <w:szCs w:val="22"/>
        </w:rPr>
        <w:t>» s</w:t>
      </w:r>
      <w:r w:rsidRPr="006F3321">
        <w:rPr>
          <w:rFonts w:ascii="Arial" w:hAnsi="Arial" w:cs="Arial"/>
          <w:b/>
          <w:sz w:val="22"/>
          <w:szCs w:val="22"/>
        </w:rPr>
        <w:t>i</w:t>
      </w:r>
      <w:r w:rsidRPr="006F3321">
        <w:rPr>
          <w:rFonts w:ascii="Arial" w:hAnsi="Arial" w:cs="Arial"/>
          <w:b/>
          <w:sz w:val="22"/>
          <w:szCs w:val="22"/>
        </w:rPr>
        <w:t>guen una melodía propia, y el «</w:t>
      </w:r>
      <w:hyperlink r:id="rId8" w:tooltip="Agnus Dei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Agnus Dei</w:t>
        </w:r>
      </w:hyperlink>
      <w:r w:rsidRPr="006F3321">
        <w:rPr>
          <w:rFonts w:ascii="Arial" w:hAnsi="Arial" w:cs="Arial"/>
          <w:b/>
          <w:sz w:val="22"/>
          <w:szCs w:val="22"/>
        </w:rPr>
        <w:t>» tenía unas palabras específicas, ("Concédeles el de</w:t>
      </w:r>
      <w:r w:rsidRPr="006F3321">
        <w:rPr>
          <w:rFonts w:ascii="Arial" w:hAnsi="Arial" w:cs="Arial"/>
          <w:b/>
          <w:sz w:val="22"/>
          <w:szCs w:val="22"/>
        </w:rPr>
        <w:t>s</w:t>
      </w:r>
      <w:r w:rsidRPr="006F3321">
        <w:rPr>
          <w:rFonts w:ascii="Arial" w:hAnsi="Arial" w:cs="Arial"/>
          <w:b/>
          <w:sz w:val="22"/>
          <w:szCs w:val="22"/>
        </w:rPr>
        <w:t xml:space="preserve">canso", "Dona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eis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requiem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>").</w:t>
      </w:r>
    </w:p>
    <w:p w:rsidR="006F3321" w:rsidRPr="006F3321" w:rsidRDefault="006F3321" w:rsidP="006F3321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 xml:space="preserve">Estas descripciones siguen la </w:t>
      </w:r>
      <w:hyperlink r:id="rId9" w:tooltip="Misa tridentina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misa tridentina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, que desde 1969 fue parcialmente modificada: ya no existen ni el </w:t>
      </w:r>
      <w:hyperlink r:id="rId10" w:tooltip="Tracto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tracto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ni las </w:t>
      </w:r>
      <w:hyperlink r:id="rId11" w:tooltip="Antífona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antífonas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de ofertorio (el </w:t>
      </w:r>
      <w:hyperlink r:id="rId12" w:tooltip="Graduale romano (aún no redactado)" w:history="1"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graduale</w:t>
        </w:r>
        <w:proofErr w:type="spellEnd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romano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las conserva en parte), la s</w:t>
      </w:r>
      <w:r w:rsidRPr="006F3321">
        <w:rPr>
          <w:rFonts w:ascii="Arial" w:hAnsi="Arial" w:cs="Arial"/>
          <w:b/>
          <w:sz w:val="22"/>
          <w:szCs w:val="22"/>
        </w:rPr>
        <w:t>e</w:t>
      </w:r>
      <w:r w:rsidRPr="006F3321">
        <w:rPr>
          <w:rFonts w:ascii="Arial" w:hAnsi="Arial" w:cs="Arial"/>
          <w:b/>
          <w:sz w:val="22"/>
          <w:szCs w:val="22"/>
        </w:rPr>
        <w:t>cuencia de difu</w:t>
      </w:r>
      <w:r w:rsidRPr="006F3321">
        <w:rPr>
          <w:rFonts w:ascii="Arial" w:hAnsi="Arial" w:cs="Arial"/>
          <w:b/>
          <w:sz w:val="22"/>
          <w:szCs w:val="22"/>
        </w:rPr>
        <w:t>n</w:t>
      </w:r>
      <w:r w:rsidRPr="006F3321">
        <w:rPr>
          <w:rFonts w:ascii="Arial" w:hAnsi="Arial" w:cs="Arial"/>
          <w:b/>
          <w:sz w:val="22"/>
          <w:szCs w:val="22"/>
        </w:rPr>
        <w:t>tos ya no se usa en la misa de difuntos, sino que, dividida en tres partes, se usa como himno en la XXXIV semana del tiempo ordinario, etc.</w:t>
      </w:r>
    </w:p>
    <w:p w:rsidR="006F3321" w:rsidRDefault="006F3321" w:rsidP="006F3321">
      <w:pPr>
        <w:pStyle w:val="NormalWeb"/>
      </w:pPr>
      <w:r>
        <w:t xml:space="preserve">Las partes tradicionales del texto del Réquiem en la </w:t>
      </w:r>
      <w:hyperlink r:id="rId13" w:tooltip="Liturgia católica" w:history="1">
        <w:r>
          <w:rPr>
            <w:rStyle w:val="Hipervnculo"/>
          </w:rPr>
          <w:t>liturgia católica</w:t>
        </w:r>
      </w:hyperlink>
      <w:r>
        <w:t xml:space="preserve"> son las que recoge el siguiente cuadro.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7"/>
        <w:gridCol w:w="3484"/>
        <w:gridCol w:w="4035"/>
      </w:tblGrid>
      <w:tr w:rsidR="006F3321" w:rsidTr="006F3321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FA"/>
            <w:vAlign w:val="center"/>
            <w:hideMark/>
          </w:tcPr>
          <w:p w:rsidR="006F3321" w:rsidRDefault="006F3321">
            <w:pPr>
              <w:shd w:val="clear" w:color="auto" w:fill="483D8B"/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Partes de una Misa de Réquiem</w:t>
            </w:r>
          </w:p>
        </w:tc>
      </w:tr>
      <w:tr w:rsidR="006F3321" w:rsidTr="006F3321">
        <w:trPr>
          <w:tblHeader/>
          <w:tblCellSpacing w:w="15" w:type="dxa"/>
        </w:trPr>
        <w:tc>
          <w:tcPr>
            <w:tcW w:w="2250" w:type="dxa"/>
            <w:shd w:val="clear" w:color="auto" w:fill="E6E6FA"/>
            <w:vAlign w:val="center"/>
            <w:hideMark/>
          </w:tcPr>
          <w:p w:rsidR="006F3321" w:rsidRDefault="006F33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Nombre</w:t>
            </w:r>
          </w:p>
        </w:tc>
        <w:tc>
          <w:tcPr>
            <w:tcW w:w="5250" w:type="dxa"/>
            <w:shd w:val="clear" w:color="auto" w:fill="E6E6FA"/>
            <w:vAlign w:val="center"/>
            <w:hideMark/>
          </w:tcPr>
          <w:p w:rsidR="006F3321" w:rsidRDefault="006F33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Texto en latín</w:t>
            </w:r>
          </w:p>
        </w:tc>
        <w:tc>
          <w:tcPr>
            <w:tcW w:w="5250" w:type="dxa"/>
            <w:shd w:val="clear" w:color="auto" w:fill="E6E6FA"/>
            <w:vAlign w:val="center"/>
            <w:hideMark/>
          </w:tcPr>
          <w:p w:rsidR="006F3321" w:rsidRDefault="006F33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Texto en español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b/>
                <w:bCs/>
              </w:rPr>
              <w:t>Introito</w:t>
            </w:r>
            <w:r>
              <w:br/>
              <w:t>(</w:t>
            </w:r>
            <w:proofErr w:type="spellStart"/>
            <w:r>
              <w:rPr>
                <w:i/>
                <w:iCs/>
              </w:rPr>
              <w:t>introitus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proofErr w:type="spellStart"/>
            <w:r>
              <w:t>Requiem</w:t>
            </w:r>
            <w:proofErr w:type="spellEnd"/>
            <w:r>
              <w:t xml:space="preserve"> </w:t>
            </w:r>
            <w:proofErr w:type="spellStart"/>
            <w:r>
              <w:t>æternam</w:t>
            </w:r>
            <w:proofErr w:type="spellEnd"/>
            <w:r>
              <w:t xml:space="preserve"> dona </w:t>
            </w:r>
            <w:proofErr w:type="spellStart"/>
            <w:r>
              <w:t>eis</w:t>
            </w:r>
            <w:proofErr w:type="spellEnd"/>
            <w:r>
              <w:t xml:space="preserve">, Domine, et lux perpetua </w:t>
            </w:r>
            <w:proofErr w:type="spellStart"/>
            <w:r>
              <w:t>luceat</w:t>
            </w:r>
            <w:proofErr w:type="spellEnd"/>
            <w:r>
              <w:t xml:space="preserve"> </w:t>
            </w:r>
            <w:proofErr w:type="spellStart"/>
            <w:r>
              <w:t>eis</w:t>
            </w:r>
            <w:proofErr w:type="spellEnd"/>
            <w:r>
              <w:t>.</w:t>
            </w:r>
            <w:r>
              <w:br/>
            </w:r>
            <w:r w:rsidRPr="006F3321">
              <w:rPr>
                <w:lang w:val="en-US"/>
              </w:rPr>
              <w:t>Te decet hymnus Deus, in Sion, et tibi reddetur votum in Ierus</w:t>
            </w:r>
            <w:r w:rsidRPr="006F3321">
              <w:rPr>
                <w:lang w:val="en-US"/>
              </w:rPr>
              <w:t>a</w:t>
            </w:r>
            <w:r w:rsidRPr="006F3321">
              <w:rPr>
                <w:lang w:val="en-US"/>
              </w:rPr>
              <w:t>lem.</w:t>
            </w:r>
            <w:r w:rsidRPr="006F3321">
              <w:rPr>
                <w:lang w:val="en-US"/>
              </w:rPr>
              <w:br/>
            </w:r>
            <w:proofErr w:type="spellStart"/>
            <w:r>
              <w:t>Exaudi</w:t>
            </w:r>
            <w:proofErr w:type="spellEnd"/>
            <w:r>
              <w:t xml:space="preserve"> </w:t>
            </w:r>
            <w:proofErr w:type="spellStart"/>
            <w:r>
              <w:t>orationem</w:t>
            </w:r>
            <w:proofErr w:type="spellEnd"/>
            <w:r>
              <w:t xml:space="preserve"> </w:t>
            </w:r>
            <w:proofErr w:type="spellStart"/>
            <w:r>
              <w:t>meam</w:t>
            </w:r>
            <w:proofErr w:type="spellEnd"/>
            <w:r>
              <w:t xml:space="preserve">; ad te </w:t>
            </w:r>
            <w:proofErr w:type="spellStart"/>
            <w:r>
              <w:t>omnis</w:t>
            </w:r>
            <w:proofErr w:type="spellEnd"/>
            <w:r>
              <w:t xml:space="preserve"> caro </w:t>
            </w:r>
            <w:proofErr w:type="spellStart"/>
            <w:r>
              <w:t>veniet</w:t>
            </w:r>
            <w:proofErr w:type="spellEnd"/>
            <w:r>
              <w:t>.</w:t>
            </w:r>
            <w:r>
              <w:br/>
            </w:r>
            <w:proofErr w:type="spellStart"/>
            <w:r>
              <w:t>Requiem</w:t>
            </w:r>
            <w:proofErr w:type="spellEnd"/>
            <w:r>
              <w:t xml:space="preserve"> </w:t>
            </w:r>
            <w:proofErr w:type="spellStart"/>
            <w:r>
              <w:t>aeternam</w:t>
            </w:r>
            <w:proofErr w:type="spellEnd"/>
            <w:r>
              <w:t xml:space="preserve"> dona </w:t>
            </w:r>
            <w:proofErr w:type="spellStart"/>
            <w:r>
              <w:t>eis</w:t>
            </w:r>
            <w:proofErr w:type="spellEnd"/>
            <w:r>
              <w:t xml:space="preserve">, Domine, et lux perpetua </w:t>
            </w:r>
            <w:proofErr w:type="spellStart"/>
            <w:r>
              <w:t>luceat</w:t>
            </w:r>
            <w:proofErr w:type="spellEnd"/>
            <w:r>
              <w:t xml:space="preserve"> </w:t>
            </w:r>
            <w:proofErr w:type="spellStart"/>
            <w:r>
              <w:t>eis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i/>
                <w:iCs/>
              </w:rPr>
              <w:t>Dales Señor, el eterno descanso, y que la luz perpetua los ilumine, S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ñor.</w:t>
            </w:r>
            <w:r>
              <w:rPr>
                <w:i/>
                <w:iCs/>
              </w:rPr>
              <w:br/>
              <w:t>En Sion cantan dignamente tus al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</w:rPr>
              <w:t>banzas.</w:t>
            </w:r>
            <w:r>
              <w:rPr>
                <w:i/>
                <w:iCs/>
              </w:rPr>
              <w:br/>
              <w:t>En Jerusalén te ofrecen sacrificios.</w:t>
            </w:r>
            <w:r>
              <w:rPr>
                <w:i/>
                <w:iCs/>
              </w:rPr>
              <w:br/>
              <w:t>Escucha mis plegarias, Tú, hacia quien van todos los mortales.</w:t>
            </w:r>
            <w:r>
              <w:rPr>
                <w:i/>
                <w:iCs/>
              </w:rPr>
              <w:br/>
              <w:t>Dales Señor, el eterno descanso, y que brille para ellos la luz perpetua.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proofErr w:type="spellStart"/>
            <w:r>
              <w:rPr>
                <w:b/>
                <w:bCs/>
              </w:rPr>
              <w:t>Kyrie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eleison</w:t>
            </w:r>
            <w:proofErr w:type="spellEnd"/>
            <w:r>
              <w:br/>
              <w:t xml:space="preserve">(en la misa tridentina </w:t>
            </w:r>
            <w:proofErr w:type="spellStart"/>
            <w:r>
              <w:rPr>
                <w:i/>
                <w:iCs/>
              </w:rPr>
              <w:t>Kyrie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Pr="006F3321" w:rsidRDefault="006F3321">
            <w:pPr>
              <w:rPr>
                <w:lang w:val="en-US"/>
              </w:rPr>
            </w:pPr>
            <w:r w:rsidRPr="006F3321">
              <w:rPr>
                <w:lang w:val="en-US"/>
              </w:rPr>
              <w:t>Kyrie eleison.</w:t>
            </w:r>
            <w:r w:rsidRPr="006F3321">
              <w:rPr>
                <w:lang w:val="en-US"/>
              </w:rPr>
              <w:br/>
              <w:t>Christe eleison.</w:t>
            </w:r>
            <w:r w:rsidRPr="006F3321">
              <w:rPr>
                <w:lang w:val="en-US"/>
              </w:rPr>
              <w:br/>
              <w:t>Kyrie eleison.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i/>
                <w:iCs/>
              </w:rPr>
              <w:t>Señor, ten piedad</w:t>
            </w:r>
            <w:r>
              <w:t>.</w:t>
            </w:r>
            <w:r>
              <w:br/>
            </w:r>
            <w:r>
              <w:rPr>
                <w:i/>
                <w:iCs/>
              </w:rPr>
              <w:t>Cristo ten piedad</w:t>
            </w:r>
            <w:r>
              <w:t>.</w:t>
            </w:r>
            <w:r>
              <w:br/>
            </w:r>
            <w:r>
              <w:rPr>
                <w:i/>
                <w:iCs/>
              </w:rPr>
              <w:t>Señor ten piedad</w:t>
            </w:r>
            <w:r>
              <w:t>.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b/>
                <w:bCs/>
              </w:rPr>
              <w:t>Gradual</w:t>
            </w:r>
            <w:r>
              <w:br/>
              <w:t>(</w:t>
            </w:r>
            <w:proofErr w:type="spellStart"/>
            <w:r>
              <w:rPr>
                <w:i/>
                <w:iCs/>
              </w:rPr>
              <w:t>graduale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Pr="006F3321" w:rsidRDefault="006F3321">
            <w:pPr>
              <w:rPr>
                <w:lang w:val="en-US"/>
              </w:rPr>
            </w:pPr>
            <w:proofErr w:type="spellStart"/>
            <w:r>
              <w:t>Requiem</w:t>
            </w:r>
            <w:proofErr w:type="spellEnd"/>
            <w:r>
              <w:t xml:space="preserve"> </w:t>
            </w:r>
            <w:proofErr w:type="spellStart"/>
            <w:r>
              <w:t>aeternam</w:t>
            </w:r>
            <w:proofErr w:type="spellEnd"/>
            <w:r>
              <w:t xml:space="preserve"> dona </w:t>
            </w:r>
            <w:proofErr w:type="spellStart"/>
            <w:r>
              <w:t>eis</w:t>
            </w:r>
            <w:proofErr w:type="spellEnd"/>
            <w:r>
              <w:t xml:space="preserve">, Domine, et lux perpetua </w:t>
            </w:r>
            <w:proofErr w:type="spellStart"/>
            <w:r>
              <w:t>luceat</w:t>
            </w:r>
            <w:proofErr w:type="spellEnd"/>
            <w:r>
              <w:t xml:space="preserve"> </w:t>
            </w:r>
            <w:proofErr w:type="spellStart"/>
            <w:r>
              <w:t>eis</w:t>
            </w:r>
            <w:proofErr w:type="spellEnd"/>
            <w:r>
              <w:t>.</w:t>
            </w:r>
            <w:r>
              <w:br/>
            </w:r>
            <w:r w:rsidRPr="006F3321">
              <w:rPr>
                <w:lang w:val="en-US"/>
              </w:rPr>
              <w:t>In memoria aeterna erit iustus: ab auditione mala non timebit.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i/>
                <w:iCs/>
              </w:rPr>
              <w:t>Señor, dales el descanso eterno y haz brillar para ellos la luz sin fin.</w:t>
            </w:r>
            <w:r>
              <w:rPr>
                <w:i/>
                <w:iCs/>
              </w:rPr>
              <w:br/>
              <w:t>El justo quedará en el recuerdo ete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</w:rPr>
              <w:t>no, el cual no tenga</w:t>
            </w:r>
            <w:r>
              <w:t xml:space="preserve"> una mala rep</w:t>
            </w:r>
            <w:r>
              <w:t>u</w:t>
            </w:r>
            <w:r>
              <w:t>tación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b/>
                <w:bCs/>
              </w:rPr>
              <w:t>Tracto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proofErr w:type="spellStart"/>
            <w:r>
              <w:t>Absolve</w:t>
            </w:r>
            <w:proofErr w:type="spellEnd"/>
            <w:r>
              <w:t xml:space="preserve">, Domine, animas </w:t>
            </w:r>
            <w:proofErr w:type="spellStart"/>
            <w:r>
              <w:t>o</w:t>
            </w:r>
            <w:r>
              <w:t>m</w:t>
            </w:r>
            <w:r>
              <w:t>nium</w:t>
            </w:r>
            <w:proofErr w:type="spellEnd"/>
            <w:r>
              <w:t xml:space="preserve"> </w:t>
            </w:r>
            <w:proofErr w:type="spellStart"/>
            <w:r>
              <w:t>fidelium</w:t>
            </w:r>
            <w:proofErr w:type="spellEnd"/>
            <w:r>
              <w:t xml:space="preserve"> </w:t>
            </w:r>
            <w:proofErr w:type="spellStart"/>
            <w:r>
              <w:t>defunctorum</w:t>
            </w:r>
            <w:proofErr w:type="spellEnd"/>
            <w:r>
              <w:t xml:space="preserve"> ab </w:t>
            </w:r>
            <w:proofErr w:type="spellStart"/>
            <w:r>
              <w:t>omni</w:t>
            </w:r>
            <w:proofErr w:type="spellEnd"/>
            <w:r>
              <w:t xml:space="preserve"> vínculo </w:t>
            </w:r>
            <w:proofErr w:type="spellStart"/>
            <w:r>
              <w:t>delictorum</w:t>
            </w:r>
            <w:proofErr w:type="spellEnd"/>
            <w:r>
              <w:t xml:space="preserve"> et gr</w:t>
            </w:r>
            <w:r>
              <w:t>a</w:t>
            </w:r>
            <w:r>
              <w:t xml:space="preserve">tia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illis</w:t>
            </w:r>
            <w:proofErr w:type="spellEnd"/>
            <w:r>
              <w:t xml:space="preserve"> </w:t>
            </w:r>
            <w:proofErr w:type="spellStart"/>
            <w:r>
              <w:t>succurente</w:t>
            </w:r>
            <w:proofErr w:type="spellEnd"/>
            <w:r>
              <w:t xml:space="preserve"> </w:t>
            </w:r>
            <w:proofErr w:type="spellStart"/>
            <w:r>
              <w:t>merea</w:t>
            </w:r>
            <w:r>
              <w:t>n</w:t>
            </w:r>
            <w:r>
              <w:t>tur</w:t>
            </w:r>
            <w:proofErr w:type="spellEnd"/>
            <w:r>
              <w:t xml:space="preserve"> </w:t>
            </w:r>
            <w:proofErr w:type="spellStart"/>
            <w:r>
              <w:t>evadere</w:t>
            </w:r>
            <w:proofErr w:type="spellEnd"/>
            <w:r>
              <w:t xml:space="preserve"> </w:t>
            </w:r>
            <w:proofErr w:type="spellStart"/>
            <w:r>
              <w:t>iudicium</w:t>
            </w:r>
            <w:proofErr w:type="spellEnd"/>
            <w:r>
              <w:t xml:space="preserve"> </w:t>
            </w:r>
            <w:proofErr w:type="spellStart"/>
            <w:r>
              <w:t>ultionis</w:t>
            </w:r>
            <w:proofErr w:type="spellEnd"/>
            <w:r>
              <w:t xml:space="preserve">, et </w:t>
            </w:r>
            <w:proofErr w:type="spellStart"/>
            <w:r>
              <w:t>lucis</w:t>
            </w:r>
            <w:proofErr w:type="spellEnd"/>
            <w:r>
              <w:t xml:space="preserve"> </w:t>
            </w:r>
            <w:proofErr w:type="spellStart"/>
            <w:r>
              <w:t>æterne</w:t>
            </w:r>
            <w:proofErr w:type="spellEnd"/>
            <w:r>
              <w:t xml:space="preserve"> </w:t>
            </w:r>
            <w:proofErr w:type="spellStart"/>
            <w:r>
              <w:t>beatitudine</w:t>
            </w:r>
            <w:proofErr w:type="spellEnd"/>
            <w:r>
              <w:t xml:space="preserve"> </w:t>
            </w:r>
            <w:proofErr w:type="spellStart"/>
            <w:r>
              <w:t>perfrui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i/>
                <w:iCs/>
              </w:rPr>
              <w:t>Absuelve, Señor las almas de los fieles difuntos de las ataduras del pecado, y que socorridos por tu gr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</w:rPr>
              <w:t>cia merecen escapar al Juicio ve</w:t>
            </w:r>
            <w:r>
              <w:rPr>
                <w:i/>
                <w:iCs/>
              </w:rPr>
              <w:t>n</w:t>
            </w:r>
            <w:r>
              <w:rPr>
                <w:i/>
                <w:iCs/>
              </w:rPr>
              <w:t>gador y disfrutar de la felicidad de la luz eterna.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b/>
                <w:bCs/>
              </w:rPr>
              <w:t>Secuencia</w:t>
            </w:r>
            <w:r>
              <w:br/>
              <w:t>(</w:t>
            </w:r>
            <w:proofErr w:type="spellStart"/>
            <w:r>
              <w:rPr>
                <w:i/>
                <w:iCs/>
              </w:rPr>
              <w:t>sequentia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Pr="006F3321" w:rsidRDefault="006F3321">
            <w:pPr>
              <w:rPr>
                <w:lang w:val="en-US"/>
              </w:rPr>
            </w:pPr>
            <w:r w:rsidRPr="006F3321">
              <w:rPr>
                <w:lang w:val="en-US"/>
              </w:rPr>
              <w:t xml:space="preserve">Dies iræ, dies illa, solvet sæclum in favilla, teste David cum Sibylla ! .... </w:t>
            </w:r>
          </w:p>
          <w:p w:rsidR="006F3321" w:rsidRDefault="006F3321">
            <w:pPr>
              <w:pStyle w:val="NormalWeb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"https://es.wikipedia.org/wiki/Dies_Irae" \o "Dies Irae" </w:instrText>
            </w:r>
            <w:r>
              <w:fldChar w:fldCharType="separate"/>
            </w:r>
            <w:r>
              <w:rPr>
                <w:rStyle w:val="Hipervnculo"/>
              </w:rPr>
              <w:t>Dies</w:t>
            </w:r>
            <w:proofErr w:type="spellEnd"/>
            <w:r>
              <w:rPr>
                <w:rStyle w:val="Hipervnculo"/>
              </w:rPr>
              <w:t xml:space="preserve"> </w:t>
            </w:r>
            <w:proofErr w:type="spellStart"/>
            <w:r>
              <w:rPr>
                <w:rStyle w:val="Hipervnculo"/>
              </w:rPr>
              <w:t>Irae</w:t>
            </w:r>
            <w:proofErr w:type="spellEnd"/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i/>
                <w:iCs/>
              </w:rPr>
              <w:t>Día de la ira, aquel día en que los siglos se reduzcan a cenizas; como testigos el rey David y la Sibila</w:t>
            </w:r>
            <w:r>
              <w:t xml:space="preserve"> ....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b/>
                <w:bCs/>
              </w:rPr>
              <w:t>Ofertorio</w:t>
            </w:r>
            <w:r>
              <w:br/>
              <w:t>(</w:t>
            </w:r>
            <w:proofErr w:type="spellStart"/>
            <w:r>
              <w:rPr>
                <w:i/>
                <w:iCs/>
              </w:rPr>
              <w:t>offertorium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t xml:space="preserve">Domine, </w:t>
            </w:r>
            <w:proofErr w:type="spellStart"/>
            <w:r>
              <w:t>Iesu</w:t>
            </w:r>
            <w:proofErr w:type="spellEnd"/>
            <w:r>
              <w:t xml:space="preserve"> </w:t>
            </w:r>
            <w:proofErr w:type="spellStart"/>
            <w:r>
              <w:t>Christe</w:t>
            </w:r>
            <w:proofErr w:type="spellEnd"/>
            <w:r>
              <w:t xml:space="preserve">, </w:t>
            </w:r>
            <w:proofErr w:type="spellStart"/>
            <w:r>
              <w:t>Rex</w:t>
            </w:r>
            <w:proofErr w:type="spellEnd"/>
            <w:r>
              <w:t xml:space="preserve"> </w:t>
            </w:r>
            <w:proofErr w:type="spellStart"/>
            <w:r>
              <w:t>gl</w:t>
            </w:r>
            <w:r>
              <w:t>o</w:t>
            </w:r>
            <w:r>
              <w:t>riæ</w:t>
            </w:r>
            <w:proofErr w:type="spellEnd"/>
            <w:r>
              <w:t xml:space="preserve">, libera animas </w:t>
            </w:r>
            <w:proofErr w:type="spellStart"/>
            <w:r>
              <w:t>omnium</w:t>
            </w:r>
            <w:proofErr w:type="spellEnd"/>
            <w:r>
              <w:t xml:space="preserve"> </w:t>
            </w:r>
            <w:proofErr w:type="spellStart"/>
            <w:r>
              <w:t>fid</w:t>
            </w:r>
            <w:r>
              <w:t>e</w:t>
            </w:r>
            <w:r>
              <w:lastRenderedPageBreak/>
              <w:t>lium</w:t>
            </w:r>
            <w:proofErr w:type="spellEnd"/>
            <w:r>
              <w:t xml:space="preserve"> </w:t>
            </w:r>
            <w:proofErr w:type="spellStart"/>
            <w:r>
              <w:t>defunctorum</w:t>
            </w:r>
            <w:proofErr w:type="spellEnd"/>
            <w:r>
              <w:t xml:space="preserve"> de </w:t>
            </w:r>
            <w:proofErr w:type="spellStart"/>
            <w:r>
              <w:t>poenis</w:t>
            </w:r>
            <w:proofErr w:type="spellEnd"/>
            <w:r>
              <w:t xml:space="preserve"> </w:t>
            </w:r>
            <w:proofErr w:type="spellStart"/>
            <w:r>
              <w:t>inferni</w:t>
            </w:r>
            <w:proofErr w:type="spellEnd"/>
            <w:r>
              <w:t xml:space="preserve"> et de profundo </w:t>
            </w:r>
            <w:proofErr w:type="spellStart"/>
            <w:r>
              <w:t>lacu</w:t>
            </w:r>
            <w:proofErr w:type="spellEnd"/>
            <w:r>
              <w:t>.</w:t>
            </w:r>
          </w:p>
          <w:p w:rsidR="006F3321" w:rsidRDefault="006F3321">
            <w:pPr>
              <w:pStyle w:val="NormalWeb"/>
            </w:pPr>
            <w:r>
              <w:t xml:space="preserve">Libera </w:t>
            </w:r>
            <w:proofErr w:type="spellStart"/>
            <w:r>
              <w:t>eas</w:t>
            </w:r>
            <w:proofErr w:type="spellEnd"/>
            <w:r>
              <w:t xml:space="preserve"> de ore </w:t>
            </w:r>
            <w:proofErr w:type="spellStart"/>
            <w:r>
              <w:t>leonis</w:t>
            </w:r>
            <w:proofErr w:type="spellEnd"/>
            <w:r>
              <w:t xml:space="preserve">,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abso</w:t>
            </w:r>
            <w:r>
              <w:t>r</w:t>
            </w:r>
            <w:r>
              <w:t>beat</w:t>
            </w:r>
            <w:proofErr w:type="spellEnd"/>
            <w:r>
              <w:t xml:space="preserve"> </w:t>
            </w:r>
            <w:proofErr w:type="spellStart"/>
            <w:r>
              <w:t>eas</w:t>
            </w:r>
            <w:proofErr w:type="spellEnd"/>
            <w:r>
              <w:t xml:space="preserve"> </w:t>
            </w:r>
            <w:proofErr w:type="spellStart"/>
            <w:r>
              <w:t>tartarus</w:t>
            </w:r>
            <w:proofErr w:type="spellEnd"/>
            <w:r>
              <w:t xml:space="preserve">,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cadant</w:t>
            </w:r>
            <w:proofErr w:type="spellEnd"/>
            <w:r>
              <w:t xml:space="preserve"> in </w:t>
            </w:r>
            <w:proofErr w:type="spellStart"/>
            <w:r>
              <w:t>ob</w:t>
            </w:r>
            <w:r>
              <w:t>s</w:t>
            </w:r>
            <w:r>
              <w:t>curum</w:t>
            </w:r>
            <w:proofErr w:type="spellEnd"/>
            <w:r>
              <w:t xml:space="preserve">; sed </w:t>
            </w:r>
            <w:proofErr w:type="spellStart"/>
            <w:r>
              <w:t>signifer</w:t>
            </w:r>
            <w:proofErr w:type="spellEnd"/>
            <w:r>
              <w:t xml:space="preserve"> sanctus Mich</w:t>
            </w:r>
            <w:r>
              <w:t>a</w:t>
            </w:r>
            <w:r>
              <w:t xml:space="preserve">el </w:t>
            </w:r>
            <w:proofErr w:type="spellStart"/>
            <w:r>
              <w:t>repræsentet</w:t>
            </w:r>
            <w:proofErr w:type="spellEnd"/>
            <w:r>
              <w:t xml:space="preserve"> </w:t>
            </w:r>
            <w:proofErr w:type="spellStart"/>
            <w:r>
              <w:t>eas</w:t>
            </w:r>
            <w:proofErr w:type="spellEnd"/>
            <w:r>
              <w:t xml:space="preserve"> in </w:t>
            </w:r>
            <w:proofErr w:type="spellStart"/>
            <w:r>
              <w:t>lucem</w:t>
            </w:r>
            <w:proofErr w:type="spellEnd"/>
            <w:r>
              <w:t xml:space="preserve"> </w:t>
            </w:r>
            <w:proofErr w:type="spellStart"/>
            <w:r>
              <w:t>san</w:t>
            </w:r>
            <w:r>
              <w:t>c</w:t>
            </w:r>
            <w:r>
              <w:t>tam</w:t>
            </w:r>
            <w:proofErr w:type="spellEnd"/>
            <w:r>
              <w:t xml:space="preserve">, </w:t>
            </w:r>
            <w:proofErr w:type="spellStart"/>
            <w:r>
              <w:t>quam</w:t>
            </w:r>
            <w:proofErr w:type="spellEnd"/>
            <w:r>
              <w:t xml:space="preserve"> </w:t>
            </w:r>
            <w:proofErr w:type="spellStart"/>
            <w:r>
              <w:t>olim</w:t>
            </w:r>
            <w:proofErr w:type="spellEnd"/>
            <w:r>
              <w:t xml:space="preserve"> </w:t>
            </w:r>
            <w:proofErr w:type="spellStart"/>
            <w:r>
              <w:t>Abrahæ</w:t>
            </w:r>
            <w:proofErr w:type="spellEnd"/>
            <w:r>
              <w:t xml:space="preserve"> </w:t>
            </w:r>
            <w:proofErr w:type="spellStart"/>
            <w:r>
              <w:t>promisisti</w:t>
            </w:r>
            <w:proofErr w:type="spellEnd"/>
            <w:r>
              <w:t xml:space="preserve"> et </w:t>
            </w:r>
            <w:proofErr w:type="spellStart"/>
            <w:r>
              <w:t>semini</w:t>
            </w:r>
            <w:proofErr w:type="spellEnd"/>
            <w:r>
              <w:t xml:space="preserve"> </w:t>
            </w:r>
            <w:proofErr w:type="spellStart"/>
            <w:r>
              <w:t>eius</w:t>
            </w:r>
            <w:proofErr w:type="spellEnd"/>
            <w:r>
              <w:t>.</w:t>
            </w:r>
            <w:r>
              <w:br/>
              <w:t xml:space="preserve">Hostias et preces tibi, Domine, </w:t>
            </w:r>
            <w:proofErr w:type="spellStart"/>
            <w:r>
              <w:t>laudis</w:t>
            </w:r>
            <w:proofErr w:type="spellEnd"/>
            <w:r>
              <w:t xml:space="preserve"> </w:t>
            </w:r>
            <w:proofErr w:type="spellStart"/>
            <w:r>
              <w:t>offerimus</w:t>
            </w:r>
            <w:proofErr w:type="spellEnd"/>
            <w:r>
              <w:t xml:space="preserve">; tu </w:t>
            </w:r>
            <w:proofErr w:type="spellStart"/>
            <w:r>
              <w:t>suscipe</w:t>
            </w:r>
            <w:proofErr w:type="spellEnd"/>
            <w:r>
              <w:t xml:space="preserve"> pro </w:t>
            </w:r>
            <w:proofErr w:type="spellStart"/>
            <w:r>
              <w:t>animabus</w:t>
            </w:r>
            <w:proofErr w:type="spellEnd"/>
            <w:r>
              <w:t xml:space="preserve"> </w:t>
            </w:r>
            <w:proofErr w:type="spellStart"/>
            <w:r>
              <w:t>illis</w:t>
            </w:r>
            <w:proofErr w:type="spellEnd"/>
            <w:r>
              <w:t xml:space="preserve">, </w:t>
            </w:r>
            <w:proofErr w:type="spellStart"/>
            <w:r>
              <w:t>quarum</w:t>
            </w:r>
            <w:proofErr w:type="spellEnd"/>
            <w:r>
              <w:t xml:space="preserve"> </w:t>
            </w:r>
            <w:proofErr w:type="spellStart"/>
            <w:r>
              <w:t>hodie</w:t>
            </w:r>
            <w:proofErr w:type="spellEnd"/>
            <w:r>
              <w:t xml:space="preserve"> m</w:t>
            </w:r>
            <w:r>
              <w:t>e</w:t>
            </w:r>
            <w:r>
              <w:t xml:space="preserve">moriam </w:t>
            </w:r>
            <w:proofErr w:type="spellStart"/>
            <w:r>
              <w:t>facimus</w:t>
            </w:r>
            <w:proofErr w:type="spellEnd"/>
            <w:r>
              <w:t>.</w:t>
            </w:r>
            <w:r>
              <w:br/>
            </w:r>
            <w:proofErr w:type="spellStart"/>
            <w:r>
              <w:t>Fac</w:t>
            </w:r>
            <w:proofErr w:type="spellEnd"/>
            <w:r>
              <w:t xml:space="preserve"> </w:t>
            </w:r>
            <w:proofErr w:type="spellStart"/>
            <w:r>
              <w:t>eas</w:t>
            </w:r>
            <w:proofErr w:type="spellEnd"/>
            <w:r>
              <w:t xml:space="preserve">, Domine, de </w:t>
            </w:r>
            <w:proofErr w:type="spellStart"/>
            <w:r>
              <w:t>morte</w:t>
            </w:r>
            <w:proofErr w:type="spellEnd"/>
            <w:r>
              <w:t xml:space="preserve"> </w:t>
            </w:r>
            <w:proofErr w:type="spellStart"/>
            <w:r>
              <w:t>transire</w:t>
            </w:r>
            <w:proofErr w:type="spellEnd"/>
            <w:r>
              <w:t xml:space="preserve"> ad </w:t>
            </w:r>
            <w:proofErr w:type="spellStart"/>
            <w:r>
              <w:t>vitam</w:t>
            </w:r>
            <w:proofErr w:type="spellEnd"/>
            <w:r>
              <w:t xml:space="preserve">; </w:t>
            </w:r>
            <w:proofErr w:type="spellStart"/>
            <w:r>
              <w:t>quam</w:t>
            </w:r>
            <w:proofErr w:type="spellEnd"/>
            <w:r>
              <w:t xml:space="preserve"> </w:t>
            </w:r>
            <w:proofErr w:type="spellStart"/>
            <w:r>
              <w:t>olim</w:t>
            </w:r>
            <w:proofErr w:type="spellEnd"/>
            <w:r>
              <w:t xml:space="preserve"> </w:t>
            </w:r>
            <w:proofErr w:type="spellStart"/>
            <w:r>
              <w:t>Abrahæ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r>
              <w:t>o</w:t>
            </w:r>
            <w:r>
              <w:t>misisti</w:t>
            </w:r>
            <w:proofErr w:type="spellEnd"/>
            <w:r>
              <w:t xml:space="preserve"> et </w:t>
            </w:r>
            <w:proofErr w:type="spellStart"/>
            <w:r>
              <w:t>semini</w:t>
            </w:r>
            <w:proofErr w:type="spellEnd"/>
            <w:r>
              <w:t xml:space="preserve"> </w:t>
            </w:r>
            <w:proofErr w:type="spellStart"/>
            <w:r>
              <w:t>eius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i/>
                <w:iCs/>
              </w:rPr>
              <w:lastRenderedPageBreak/>
              <w:t>Señor, Jesucristo, Rey de gloria, l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</w:rPr>
              <w:t xml:space="preserve">berad las almas de los fieles difuntos </w:t>
            </w:r>
            <w:r>
              <w:rPr>
                <w:i/>
                <w:iCs/>
              </w:rPr>
              <w:lastRenderedPageBreak/>
              <w:t>de las llamas del Infierno y del Abismo sin fondo</w:t>
            </w:r>
            <w:r>
              <w:t>.</w:t>
            </w:r>
          </w:p>
          <w:p w:rsidR="006F3321" w:rsidRDefault="006F3321">
            <w:pPr>
              <w:pStyle w:val="NormalWeb"/>
            </w:pPr>
            <w:r>
              <w:rPr>
                <w:i/>
                <w:iCs/>
              </w:rPr>
              <w:t>Liberadlos de la boca del león para que el abismo horrible no los engulla y no caigan en los lazos de las tinieblas. Que san Miguel, portador del estandarte, los introduzca en la santa luz; como le pr</w:t>
            </w:r>
            <w:r>
              <w:rPr>
                <w:i/>
                <w:iCs/>
              </w:rPr>
              <w:t>o</w:t>
            </w:r>
            <w:r>
              <w:rPr>
                <w:i/>
                <w:iCs/>
              </w:rPr>
              <w:t>metiste a Abrahán y a su descendencia</w:t>
            </w:r>
            <w:r>
              <w:t>.</w:t>
            </w:r>
            <w:r>
              <w:br/>
            </w:r>
            <w:r>
              <w:rPr>
                <w:i/>
                <w:iCs/>
              </w:rPr>
              <w:t>Súplicas y alabanzas, Señor, te ofrec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mos en sacrificio. Acéptalas en nombre de las almas en cuya memoria hoy las hacemos</w:t>
            </w:r>
            <w:r>
              <w:t>.</w:t>
            </w:r>
            <w:r>
              <w:br/>
            </w:r>
            <w:r>
              <w:rPr>
                <w:i/>
                <w:iCs/>
              </w:rPr>
              <w:t>Hazlas pasar, Señor, de la muerte a la vida, como antaño prometiste a Abr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</w:rPr>
              <w:t>ham y a su descendencia.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b/>
                <w:bCs/>
              </w:rPr>
              <w:lastRenderedPageBreak/>
              <w:t>Santo</w:t>
            </w:r>
            <w:r>
              <w:br/>
              <w:t>(</w:t>
            </w:r>
            <w:r>
              <w:rPr>
                <w:i/>
                <w:iCs/>
              </w:rPr>
              <w:t>Sanctus</w:t>
            </w:r>
            <w:r>
              <w:t xml:space="preserve"> en la misa tride</w:t>
            </w:r>
            <w:r>
              <w:t>n</w:t>
            </w:r>
            <w:r>
              <w:t>tina)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Pr="006F3321" w:rsidRDefault="006F3321">
            <w:pPr>
              <w:rPr>
                <w:lang w:val="en-US"/>
              </w:rPr>
            </w:pPr>
            <w:r>
              <w:t xml:space="preserve">Sanctus, Sanctus, Sanctus, Domine Deus </w:t>
            </w:r>
            <w:proofErr w:type="spellStart"/>
            <w:r>
              <w:t>Sabaoth</w:t>
            </w:r>
            <w:proofErr w:type="spellEnd"/>
            <w:r>
              <w:t>!;</w:t>
            </w:r>
            <w:r>
              <w:br/>
            </w:r>
            <w:proofErr w:type="spellStart"/>
            <w:r>
              <w:t>pleni</w:t>
            </w:r>
            <w:proofErr w:type="spellEnd"/>
            <w:r>
              <w:t xml:space="preserve"> </w:t>
            </w:r>
            <w:proofErr w:type="spellStart"/>
            <w:r>
              <w:t>sunt</w:t>
            </w:r>
            <w:proofErr w:type="spellEnd"/>
            <w:r>
              <w:t xml:space="preserve"> </w:t>
            </w:r>
            <w:proofErr w:type="spellStart"/>
            <w:r>
              <w:t>coeli</w:t>
            </w:r>
            <w:proofErr w:type="spellEnd"/>
            <w:r>
              <w:t xml:space="preserve"> et </w:t>
            </w:r>
            <w:proofErr w:type="spellStart"/>
            <w:r>
              <w:t>terra</w:t>
            </w:r>
            <w:proofErr w:type="spellEnd"/>
            <w:r>
              <w:t xml:space="preserve"> gloria </w:t>
            </w:r>
            <w:proofErr w:type="spellStart"/>
            <w:r>
              <w:t>tua</w:t>
            </w:r>
            <w:proofErr w:type="spellEnd"/>
            <w:r>
              <w:t>.</w:t>
            </w:r>
            <w:r>
              <w:br/>
            </w:r>
            <w:r w:rsidRPr="006F3321">
              <w:rPr>
                <w:lang w:val="en-US"/>
              </w:rPr>
              <w:t>Hosanna in excelsis.</w:t>
            </w:r>
            <w:r w:rsidRPr="006F3321">
              <w:rPr>
                <w:lang w:val="en-US"/>
              </w:rPr>
              <w:br/>
              <w:t>Benedictus qui venit in nomine Domini.</w:t>
            </w:r>
            <w:r w:rsidRPr="006F3321">
              <w:rPr>
                <w:lang w:val="en-US"/>
              </w:rPr>
              <w:br/>
              <w:t>Hosanna in excelsis.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i/>
                <w:iCs/>
              </w:rPr>
              <w:t>Santo, Santo, Santo es el Señor; Dios de las fuerzas celestiales.</w:t>
            </w:r>
            <w:r>
              <w:rPr>
                <w:i/>
                <w:iCs/>
              </w:rPr>
              <w:br/>
              <w:t>Llenos están el cielo y la tierra de vuestra gloria.</w:t>
            </w:r>
            <w:r>
              <w:rPr>
                <w:i/>
                <w:iCs/>
              </w:rPr>
              <w:br/>
              <w:t>Hosanna en las alturas.</w:t>
            </w:r>
            <w:r>
              <w:rPr>
                <w:i/>
                <w:iCs/>
              </w:rPr>
              <w:br/>
              <w:t>Bendito el que viene en nombre del Señor.</w:t>
            </w:r>
            <w:r>
              <w:rPr>
                <w:i/>
                <w:iCs/>
              </w:rPr>
              <w:br/>
              <w:t>Hosanna en las alturas.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b/>
                <w:bCs/>
              </w:rPr>
              <w:t>Agnus Dei</w:t>
            </w:r>
            <w:r>
              <w:br/>
              <w:t>(</w:t>
            </w:r>
            <w:r>
              <w:rPr>
                <w:i/>
                <w:iCs/>
              </w:rPr>
              <w:t>agnus Dei</w:t>
            </w:r>
            <w:r>
              <w:t>).</w:t>
            </w:r>
            <w:r>
              <w:br/>
              <w:t xml:space="preserve">Es el agnus </w:t>
            </w:r>
            <w:proofErr w:type="spellStart"/>
            <w:r>
              <w:t>dei</w:t>
            </w:r>
            <w:proofErr w:type="spellEnd"/>
            <w:r>
              <w:t xml:space="preserve"> de la forma ordinaria cambiando </w:t>
            </w:r>
            <w:r>
              <w:rPr>
                <w:i/>
                <w:iCs/>
              </w:rPr>
              <w:t>mis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 xml:space="preserve">rere </w:t>
            </w:r>
            <w:proofErr w:type="spellStart"/>
            <w:r>
              <w:rPr>
                <w:i/>
                <w:iCs/>
              </w:rPr>
              <w:t>nobis</w:t>
            </w:r>
            <w:proofErr w:type="spellEnd"/>
            <w:r>
              <w:t xml:space="preserve"> por </w:t>
            </w:r>
            <w:r>
              <w:rPr>
                <w:i/>
                <w:iCs/>
              </w:rPr>
              <w:t xml:space="preserve">dona </w:t>
            </w:r>
            <w:proofErr w:type="spellStart"/>
            <w:r>
              <w:rPr>
                <w:i/>
                <w:iCs/>
              </w:rPr>
              <w:t>eis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quiem</w:t>
            </w:r>
            <w:proofErr w:type="spellEnd"/>
            <w:r>
              <w:t xml:space="preserve">, y </w:t>
            </w:r>
            <w:r>
              <w:rPr>
                <w:i/>
                <w:iCs/>
              </w:rPr>
              <w:t xml:space="preserve">dona </w:t>
            </w:r>
            <w:proofErr w:type="spellStart"/>
            <w:r>
              <w:rPr>
                <w:i/>
                <w:iCs/>
              </w:rPr>
              <w:t>nobis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pacem</w:t>
            </w:r>
            <w:proofErr w:type="spellEnd"/>
            <w:r>
              <w:t xml:space="preserve"> por </w:t>
            </w:r>
            <w:r>
              <w:rPr>
                <w:i/>
                <w:iCs/>
              </w:rPr>
              <w:t xml:space="preserve">dona </w:t>
            </w:r>
            <w:proofErr w:type="spellStart"/>
            <w:r>
              <w:rPr>
                <w:i/>
                <w:iCs/>
              </w:rPr>
              <w:t>eis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requiem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</w:t>
            </w:r>
            <w:r>
              <w:rPr>
                <w:i/>
                <w:iCs/>
              </w:rPr>
              <w:t>m</w:t>
            </w:r>
            <w:r>
              <w:rPr>
                <w:i/>
                <w:iCs/>
              </w:rPr>
              <w:t>piternam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t xml:space="preserve">Agnus Dei,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tollis</w:t>
            </w:r>
            <w:proofErr w:type="spellEnd"/>
            <w:r>
              <w:t xml:space="preserve"> peccata </w:t>
            </w:r>
            <w:proofErr w:type="spellStart"/>
            <w:r>
              <w:t>mundi</w:t>
            </w:r>
            <w:proofErr w:type="spellEnd"/>
            <w:r>
              <w:t xml:space="preserve">, dona </w:t>
            </w:r>
            <w:proofErr w:type="spellStart"/>
            <w:r>
              <w:t>eis</w:t>
            </w:r>
            <w:proofErr w:type="spellEnd"/>
            <w:r>
              <w:t xml:space="preserve"> </w:t>
            </w:r>
            <w:proofErr w:type="spellStart"/>
            <w:r>
              <w:t>requiem</w:t>
            </w:r>
            <w:proofErr w:type="spellEnd"/>
            <w:r>
              <w:t>,</w:t>
            </w:r>
            <w:r>
              <w:br/>
              <w:t xml:space="preserve">Agnus Dei,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tollis</w:t>
            </w:r>
            <w:proofErr w:type="spellEnd"/>
            <w:r>
              <w:t xml:space="preserve"> peccata </w:t>
            </w:r>
            <w:proofErr w:type="spellStart"/>
            <w:r>
              <w:t>mundi</w:t>
            </w:r>
            <w:proofErr w:type="spellEnd"/>
            <w:r>
              <w:t xml:space="preserve">, dona </w:t>
            </w:r>
            <w:proofErr w:type="spellStart"/>
            <w:r>
              <w:t>eis</w:t>
            </w:r>
            <w:proofErr w:type="spellEnd"/>
            <w:r>
              <w:t xml:space="preserve"> </w:t>
            </w:r>
            <w:proofErr w:type="spellStart"/>
            <w:r>
              <w:t>requiem</w:t>
            </w:r>
            <w:proofErr w:type="spellEnd"/>
            <w:r>
              <w:t>,</w:t>
            </w:r>
            <w:r>
              <w:br/>
              <w:t xml:space="preserve">Agnus Dei,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tollis</w:t>
            </w:r>
            <w:proofErr w:type="spellEnd"/>
            <w:r>
              <w:t xml:space="preserve"> peccata </w:t>
            </w:r>
            <w:proofErr w:type="spellStart"/>
            <w:r>
              <w:t>mundi</w:t>
            </w:r>
            <w:proofErr w:type="spellEnd"/>
            <w:r>
              <w:t xml:space="preserve">, dona </w:t>
            </w:r>
            <w:proofErr w:type="spellStart"/>
            <w:r>
              <w:t>eis</w:t>
            </w:r>
            <w:proofErr w:type="spellEnd"/>
            <w:r>
              <w:t xml:space="preserve"> </w:t>
            </w:r>
            <w:proofErr w:type="spellStart"/>
            <w:r>
              <w:t>requiem</w:t>
            </w:r>
            <w:proofErr w:type="spellEnd"/>
            <w:r>
              <w:t xml:space="preserve"> </w:t>
            </w:r>
            <w:proofErr w:type="spellStart"/>
            <w:r>
              <w:t>semp</w:t>
            </w:r>
            <w:r>
              <w:t>i</w:t>
            </w:r>
            <w:r>
              <w:t>ternam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i/>
                <w:iCs/>
              </w:rPr>
              <w:t>Cordero de Dios, que quitáis el p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cado del mundo, dadles el desca</w:t>
            </w:r>
            <w:r>
              <w:rPr>
                <w:i/>
                <w:iCs/>
              </w:rPr>
              <w:t>n</w:t>
            </w:r>
            <w:r>
              <w:rPr>
                <w:i/>
                <w:iCs/>
              </w:rPr>
              <w:t>so.</w:t>
            </w:r>
            <w:r>
              <w:br/>
            </w:r>
            <w:r>
              <w:rPr>
                <w:i/>
                <w:iCs/>
              </w:rPr>
              <w:t>Cordero de Dios, que quitáis el p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cado del mundo, dadles el desca</w:t>
            </w:r>
            <w:r>
              <w:rPr>
                <w:i/>
                <w:iCs/>
              </w:rPr>
              <w:t>n</w:t>
            </w:r>
            <w:r>
              <w:rPr>
                <w:i/>
                <w:iCs/>
              </w:rPr>
              <w:t>so.</w:t>
            </w:r>
            <w:r>
              <w:br/>
            </w:r>
            <w:r>
              <w:rPr>
                <w:i/>
                <w:iCs/>
              </w:rPr>
              <w:t>Cordero de Dios, que quitáis el p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cado del mundo, dadles el eterno descanso.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b/>
                <w:bCs/>
              </w:rPr>
              <w:t>Comunión</w:t>
            </w:r>
            <w:r>
              <w:br/>
              <w:t>(</w:t>
            </w:r>
            <w:proofErr w:type="spellStart"/>
            <w:r>
              <w:rPr>
                <w:i/>
                <w:iCs/>
              </w:rPr>
              <w:t>Communio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t xml:space="preserve">Lux </w:t>
            </w:r>
            <w:proofErr w:type="spellStart"/>
            <w:r>
              <w:t>æterna</w:t>
            </w:r>
            <w:proofErr w:type="spellEnd"/>
            <w:r>
              <w:t xml:space="preserve"> </w:t>
            </w:r>
            <w:proofErr w:type="spellStart"/>
            <w:r>
              <w:t>luceat</w:t>
            </w:r>
            <w:proofErr w:type="spellEnd"/>
            <w:r>
              <w:t xml:space="preserve"> </w:t>
            </w:r>
            <w:proofErr w:type="spellStart"/>
            <w:r>
              <w:t>eis</w:t>
            </w:r>
            <w:proofErr w:type="spellEnd"/>
            <w:r>
              <w:t xml:space="preserve">, Domine, cum </w:t>
            </w:r>
            <w:proofErr w:type="spellStart"/>
            <w:r>
              <w:t>sanctis</w:t>
            </w:r>
            <w:proofErr w:type="spellEnd"/>
            <w:r>
              <w:t xml:space="preserve"> tuis in </w:t>
            </w:r>
            <w:proofErr w:type="spellStart"/>
            <w:r>
              <w:t>æternum</w:t>
            </w:r>
            <w:proofErr w:type="spellEnd"/>
            <w:r>
              <w:t xml:space="preserve">, </w:t>
            </w:r>
            <w:proofErr w:type="spellStart"/>
            <w:r>
              <w:t>quia</w:t>
            </w:r>
            <w:proofErr w:type="spellEnd"/>
            <w:r>
              <w:t xml:space="preserve"> </w:t>
            </w:r>
            <w:proofErr w:type="spellStart"/>
            <w:r>
              <w:t>pius</w:t>
            </w:r>
            <w:proofErr w:type="spellEnd"/>
            <w:r>
              <w:t xml:space="preserve"> es.</w:t>
            </w:r>
            <w:r>
              <w:br/>
            </w:r>
            <w:proofErr w:type="spellStart"/>
            <w:r>
              <w:t>Requiem</w:t>
            </w:r>
            <w:proofErr w:type="spellEnd"/>
            <w:r>
              <w:t xml:space="preserve"> </w:t>
            </w:r>
            <w:proofErr w:type="spellStart"/>
            <w:r>
              <w:t>æternam</w:t>
            </w:r>
            <w:proofErr w:type="spellEnd"/>
            <w:r>
              <w:t xml:space="preserve"> dona </w:t>
            </w:r>
            <w:proofErr w:type="spellStart"/>
            <w:r>
              <w:t>eis</w:t>
            </w:r>
            <w:proofErr w:type="spellEnd"/>
            <w:r>
              <w:t xml:space="preserve">, Domine, et lux perpetua </w:t>
            </w:r>
            <w:proofErr w:type="spellStart"/>
            <w:r>
              <w:t>luceat</w:t>
            </w:r>
            <w:proofErr w:type="spellEnd"/>
            <w:r>
              <w:t xml:space="preserve"> </w:t>
            </w:r>
            <w:proofErr w:type="spellStart"/>
            <w:r>
              <w:t>eis</w:t>
            </w:r>
            <w:proofErr w:type="spellEnd"/>
            <w:r>
              <w:t>.</w:t>
            </w:r>
            <w:r>
              <w:br/>
              <w:t xml:space="preserve">Cum </w:t>
            </w:r>
            <w:proofErr w:type="spellStart"/>
            <w:r>
              <w:t>sanctis</w:t>
            </w:r>
            <w:proofErr w:type="spellEnd"/>
            <w:r>
              <w:t xml:space="preserve"> tuis in </w:t>
            </w:r>
            <w:proofErr w:type="spellStart"/>
            <w:r>
              <w:t>æternum</w:t>
            </w:r>
            <w:proofErr w:type="spellEnd"/>
            <w:r>
              <w:t xml:space="preserve">, </w:t>
            </w:r>
            <w:proofErr w:type="spellStart"/>
            <w:r>
              <w:t>quia</w:t>
            </w:r>
            <w:proofErr w:type="spellEnd"/>
            <w:r>
              <w:t xml:space="preserve"> </w:t>
            </w:r>
            <w:proofErr w:type="spellStart"/>
            <w:r>
              <w:t>pius</w:t>
            </w:r>
            <w:proofErr w:type="spellEnd"/>
            <w:r>
              <w:t xml:space="preserve"> es.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i/>
                <w:iCs/>
              </w:rPr>
              <w:t>Que la luz eterna brille para ellos, Señor, en medio de vuestros Santos porque sois misericordioso.</w:t>
            </w:r>
            <w:r>
              <w:rPr>
                <w:i/>
                <w:iCs/>
              </w:rPr>
              <w:br/>
              <w:t>Señor, dadles el reposo eterno y haz brillar la luz para ellos sin fin</w:t>
            </w:r>
            <w:r>
              <w:t>.</w:t>
            </w:r>
            <w:r>
              <w:br/>
            </w:r>
            <w:r>
              <w:rPr>
                <w:i/>
                <w:iCs/>
              </w:rPr>
              <w:t>Entre vuestros santos para siempre, pues sois misericordioso.</w:t>
            </w:r>
          </w:p>
        </w:tc>
      </w:tr>
    </w:tbl>
    <w:p w:rsidR="006F3321" w:rsidRPr="006F3321" w:rsidRDefault="006F3321" w:rsidP="006F3321">
      <w:pPr>
        <w:pStyle w:val="Ttulo2"/>
        <w:jc w:val="center"/>
        <w:rPr>
          <w:color w:val="FF0000"/>
        </w:rPr>
      </w:pPr>
      <w:r w:rsidRPr="006F3321">
        <w:rPr>
          <w:rStyle w:val="mw-headline"/>
          <w:color w:val="FF0000"/>
        </w:rPr>
        <w:t>Composiciones musicales</w:t>
      </w:r>
    </w:p>
    <w:p w:rsidR="006F3321" w:rsidRPr="006F3321" w:rsidRDefault="006F3321" w:rsidP="006F3321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 xml:space="preserve">Durante muchos siglos, los textos del réquiem fueron cantados en </w:t>
      </w:r>
      <w:hyperlink r:id="rId14" w:tooltip="Canto gregoriano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canto gregoriano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. La primera versión </w:t>
      </w:r>
      <w:hyperlink r:id="rId15" w:tooltip="Polifónica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polifónica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conocida ha sido compuesta por </w:t>
      </w:r>
      <w:hyperlink r:id="rId16" w:tooltip="Johannes Ockeghem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Johannes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Ockeghem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 xml:space="preserve"> hacia 1460; su </w:t>
      </w:r>
      <w:r w:rsidRPr="006F3321">
        <w:rPr>
          <w:rFonts w:ascii="Arial" w:hAnsi="Arial" w:cs="Arial"/>
          <w:b/>
          <w:i/>
          <w:iCs/>
          <w:sz w:val="22"/>
          <w:szCs w:val="22"/>
        </w:rPr>
        <w:t>Réquiem</w:t>
      </w:r>
      <w:r w:rsidRPr="006F3321">
        <w:rPr>
          <w:rFonts w:ascii="Arial" w:hAnsi="Arial" w:cs="Arial"/>
          <w:b/>
          <w:sz w:val="22"/>
          <w:szCs w:val="22"/>
        </w:rPr>
        <w:t xml:space="preserve"> está consider</w:t>
      </w:r>
      <w:r w:rsidRPr="006F3321">
        <w:rPr>
          <w:rFonts w:ascii="Arial" w:hAnsi="Arial" w:cs="Arial"/>
          <w:b/>
          <w:sz w:val="22"/>
          <w:szCs w:val="22"/>
        </w:rPr>
        <w:t>a</w:t>
      </w:r>
      <w:r w:rsidRPr="006F3321">
        <w:rPr>
          <w:rFonts w:ascii="Arial" w:hAnsi="Arial" w:cs="Arial"/>
          <w:b/>
          <w:sz w:val="22"/>
          <w:szCs w:val="22"/>
        </w:rPr>
        <w:t xml:space="preserve">do como una copia de un compositor más antiguo, </w:t>
      </w:r>
      <w:hyperlink r:id="rId17" w:tooltip="Guillaume Dufay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Guillaume Dufay</w:t>
        </w:r>
      </w:hyperlink>
      <w:r w:rsidRPr="006F3321">
        <w:rPr>
          <w:rFonts w:ascii="Arial" w:hAnsi="Arial" w:cs="Arial"/>
          <w:b/>
          <w:sz w:val="22"/>
          <w:szCs w:val="22"/>
        </w:rPr>
        <w:t>.</w:t>
      </w:r>
      <w:hyperlink r:id="rId18" w:anchor="cite_note-1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vertAlign w:val="superscript"/>
          </w:rPr>
          <w:t>1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Los primeros réquiems utilizaban diferentes textos de varias liturgias europeas, hasta que el </w:t>
      </w:r>
      <w:hyperlink r:id="rId19" w:tooltip="Concilio de Trento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Concilio de Trento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adoptó el texto anterior. El </w:t>
      </w:r>
      <w:r w:rsidRPr="006F3321">
        <w:rPr>
          <w:rFonts w:ascii="Arial" w:hAnsi="Arial" w:cs="Arial"/>
          <w:b/>
          <w:i/>
          <w:iCs/>
          <w:sz w:val="22"/>
          <w:szCs w:val="22"/>
        </w:rPr>
        <w:t>Réquiem</w:t>
      </w:r>
      <w:r w:rsidRPr="006F3321">
        <w:rPr>
          <w:rFonts w:ascii="Arial" w:hAnsi="Arial" w:cs="Arial"/>
          <w:b/>
          <w:sz w:val="22"/>
          <w:szCs w:val="22"/>
        </w:rPr>
        <w:t xml:space="preserve"> de </w:t>
      </w:r>
      <w:hyperlink r:id="rId20" w:tooltip="Antoine Brumel" w:history="1"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Antoine</w:t>
        </w:r>
        <w:proofErr w:type="spellEnd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Brumel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>, hacia 1500, fue el primero que incluyó el «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Dies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Irae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>».</w:t>
      </w:r>
    </w:p>
    <w:p w:rsidR="006F3321" w:rsidRPr="006F3321" w:rsidRDefault="006F3321" w:rsidP="006F3321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 xml:space="preserve">A la fecha, se han compuesto más de 2000 réquiems. Las versiones del </w:t>
      </w:r>
      <w:hyperlink r:id="rId21" w:tooltip="Renacimiento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Renacimiento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son en pri</w:t>
      </w:r>
      <w:r w:rsidRPr="006F3321">
        <w:rPr>
          <w:rFonts w:ascii="Arial" w:hAnsi="Arial" w:cs="Arial"/>
          <w:b/>
          <w:sz w:val="22"/>
          <w:szCs w:val="22"/>
        </w:rPr>
        <w:t>n</w:t>
      </w:r>
      <w:r w:rsidRPr="006F3321">
        <w:rPr>
          <w:rFonts w:ascii="Arial" w:hAnsi="Arial" w:cs="Arial"/>
          <w:b/>
          <w:sz w:val="22"/>
          <w:szCs w:val="22"/>
        </w:rPr>
        <w:lastRenderedPageBreak/>
        <w:t xml:space="preserve">cipio </w:t>
      </w:r>
      <w:hyperlink r:id="rId22" w:tooltip="A cappella" w:history="1">
        <w:r w:rsidRPr="006F3321">
          <w:rPr>
            <w:rStyle w:val="Hipervnculo"/>
            <w:rFonts w:ascii="Arial" w:hAnsi="Arial" w:cs="Arial"/>
            <w:b/>
            <w:i/>
            <w:iCs/>
            <w:color w:val="auto"/>
            <w:sz w:val="22"/>
            <w:szCs w:val="22"/>
            <w:u w:val="none"/>
          </w:rPr>
          <w:t>a cappella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(es decir, sin acompañamiento instrumental) y casi 1,600 compositores han pref</w:t>
      </w:r>
      <w:r w:rsidRPr="006F3321">
        <w:rPr>
          <w:rFonts w:ascii="Arial" w:hAnsi="Arial" w:cs="Arial"/>
          <w:b/>
          <w:sz w:val="22"/>
          <w:szCs w:val="22"/>
        </w:rPr>
        <w:t>e</w:t>
      </w:r>
      <w:r w:rsidRPr="006F3321">
        <w:rPr>
          <w:rFonts w:ascii="Arial" w:hAnsi="Arial" w:cs="Arial"/>
          <w:b/>
          <w:sz w:val="22"/>
          <w:szCs w:val="22"/>
        </w:rPr>
        <w:t>rido utilizar instrumentos para acomp</w:t>
      </w:r>
      <w:r w:rsidRPr="006F3321">
        <w:rPr>
          <w:rFonts w:ascii="Arial" w:hAnsi="Arial" w:cs="Arial"/>
          <w:b/>
          <w:sz w:val="22"/>
          <w:szCs w:val="22"/>
        </w:rPr>
        <w:t>a</w:t>
      </w:r>
      <w:r w:rsidRPr="006F3321">
        <w:rPr>
          <w:rFonts w:ascii="Arial" w:hAnsi="Arial" w:cs="Arial"/>
          <w:b/>
          <w:sz w:val="22"/>
          <w:szCs w:val="22"/>
        </w:rPr>
        <w:t xml:space="preserve">ñar al coro y utilizan igualmente </w:t>
      </w:r>
      <w:hyperlink r:id="rId23" w:tooltip="Cantante solista (aún no redactado)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cantantes solistas</w:t>
        </w:r>
      </w:hyperlink>
      <w:r w:rsidRPr="006F3321">
        <w:rPr>
          <w:rFonts w:ascii="Arial" w:hAnsi="Arial" w:cs="Arial"/>
          <w:b/>
          <w:sz w:val="22"/>
          <w:szCs w:val="22"/>
        </w:rPr>
        <w:t>.</w:t>
      </w:r>
    </w:p>
    <w:p w:rsidR="006F3321" w:rsidRPr="006F3321" w:rsidRDefault="006F3321" w:rsidP="006F3321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 xml:space="preserve">La mayoría de los compositores omiten partes de la </w:t>
      </w:r>
      <w:hyperlink r:id="rId24" w:tooltip="Liturgia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liturgia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, en general el </w:t>
      </w:r>
      <w:r w:rsidRPr="006F3321">
        <w:rPr>
          <w:rFonts w:ascii="Arial" w:hAnsi="Arial" w:cs="Arial"/>
          <w:b/>
          <w:i/>
          <w:iCs/>
          <w:sz w:val="22"/>
          <w:szCs w:val="22"/>
        </w:rPr>
        <w:t>Gradual</w:t>
      </w:r>
      <w:r w:rsidRPr="006F3321">
        <w:rPr>
          <w:rFonts w:ascii="Arial" w:hAnsi="Arial" w:cs="Arial"/>
          <w:b/>
          <w:sz w:val="22"/>
          <w:szCs w:val="22"/>
        </w:rPr>
        <w:t xml:space="preserve"> y el </w:t>
      </w:r>
      <w:r w:rsidRPr="006F3321">
        <w:rPr>
          <w:rFonts w:ascii="Arial" w:hAnsi="Arial" w:cs="Arial"/>
          <w:b/>
          <w:i/>
          <w:iCs/>
          <w:sz w:val="22"/>
          <w:szCs w:val="22"/>
        </w:rPr>
        <w:t>Tracto</w:t>
      </w:r>
      <w:r w:rsidRPr="006F3321">
        <w:rPr>
          <w:rFonts w:ascii="Arial" w:hAnsi="Arial" w:cs="Arial"/>
          <w:b/>
          <w:sz w:val="22"/>
          <w:szCs w:val="22"/>
        </w:rPr>
        <w:t xml:space="preserve">. </w:t>
      </w:r>
      <w:hyperlink r:id="rId25" w:tooltip="Gabriel Fauré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</w:t>
        </w:r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</w:t>
        </w:r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briel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Fauré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 xml:space="preserve"> y </w:t>
      </w:r>
      <w:hyperlink r:id="rId26" w:tooltip="Maurice Duruflé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Maurice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Duruflé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 xml:space="preserve"> no han incluido el «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Dies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Irae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» (está incluido en el </w:t>
      </w:r>
      <w:r w:rsidRPr="006F3321">
        <w:rPr>
          <w:rFonts w:ascii="Arial" w:hAnsi="Arial" w:cs="Arial"/>
          <w:b/>
          <w:i/>
          <w:iCs/>
          <w:sz w:val="22"/>
          <w:szCs w:val="22"/>
        </w:rPr>
        <w:t>Libera me</w:t>
      </w:r>
      <w:r w:rsidRPr="006F3321">
        <w:rPr>
          <w:rFonts w:ascii="Arial" w:hAnsi="Arial" w:cs="Arial"/>
          <w:b/>
          <w:sz w:val="22"/>
          <w:szCs w:val="22"/>
        </w:rPr>
        <w:t xml:space="preserve"> en el </w:t>
      </w:r>
      <w:r w:rsidRPr="006F3321">
        <w:rPr>
          <w:rFonts w:ascii="Arial" w:hAnsi="Arial" w:cs="Arial"/>
          <w:b/>
          <w:i/>
          <w:iCs/>
          <w:sz w:val="22"/>
          <w:szCs w:val="22"/>
        </w:rPr>
        <w:t>Réquiem</w:t>
      </w:r>
      <w:r w:rsidRPr="006F3321">
        <w:rPr>
          <w:rFonts w:ascii="Arial" w:hAnsi="Arial" w:cs="Arial"/>
          <w:b/>
          <w:sz w:val="22"/>
          <w:szCs w:val="22"/>
        </w:rPr>
        <w:t xml:space="preserve">, de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Fauré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>), mientras que este texto lo han usado a menudo compositores franceses como obra independiente.</w:t>
      </w:r>
    </w:p>
    <w:p w:rsidR="006F3321" w:rsidRPr="006F3321" w:rsidRDefault="006F3321" w:rsidP="006F3321">
      <w:pPr>
        <w:pStyle w:val="Ttulo3"/>
        <w:jc w:val="both"/>
        <w:rPr>
          <w:rFonts w:ascii="Arial" w:hAnsi="Arial" w:cs="Arial"/>
          <w:sz w:val="22"/>
          <w:szCs w:val="22"/>
        </w:rPr>
      </w:pPr>
      <w:r w:rsidRPr="006F3321">
        <w:rPr>
          <w:rStyle w:val="mw-headline"/>
          <w:rFonts w:ascii="Arial" w:hAnsi="Arial" w:cs="Arial"/>
          <w:sz w:val="22"/>
          <w:szCs w:val="22"/>
        </w:rPr>
        <w:t>Réquiems de concierto</w:t>
      </w:r>
    </w:p>
    <w:p w:rsidR="006F3321" w:rsidRPr="006F3321" w:rsidRDefault="006F3321" w:rsidP="006F3321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>A veces, los compositores dividen una parte de la liturgia en uno o dos movimientos a causa de la longitud del texto. El «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Dies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Irae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» es el que con más frecuencia ha sido dividido en varias partes (como ocurre en el </w:t>
      </w:r>
      <w:hyperlink r:id="rId27" w:tooltip="Réquiem (Mozart)" w:history="1">
        <w:r w:rsidRPr="006F3321">
          <w:rPr>
            <w:rStyle w:val="Hipervnculo"/>
            <w:rFonts w:ascii="Arial" w:hAnsi="Arial" w:cs="Arial"/>
            <w:b/>
            <w:i/>
            <w:iCs/>
            <w:color w:val="auto"/>
            <w:sz w:val="22"/>
            <w:szCs w:val="22"/>
            <w:u w:val="none"/>
          </w:rPr>
          <w:t>Réquiem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, de </w:t>
      </w:r>
      <w:hyperlink r:id="rId28" w:tooltip="Wolfgang Amadeus Mozart" w:history="1"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Wol</w:t>
        </w:r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</w:t>
        </w:r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gang</w:t>
        </w:r>
        <w:proofErr w:type="spellEnd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Amadeus Mozart</w:t>
        </w:r>
      </w:hyperlink>
      <w:r w:rsidRPr="006F3321">
        <w:rPr>
          <w:rFonts w:ascii="Arial" w:hAnsi="Arial" w:cs="Arial"/>
          <w:b/>
          <w:sz w:val="22"/>
          <w:szCs w:val="22"/>
        </w:rPr>
        <w:t>). El «Introito» y el «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Kyrie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», que eran consecutivos en la antigua liturgia católica de San </w:t>
      </w:r>
      <w:hyperlink r:id="rId29" w:tooltip="Pío V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Pío V</w:t>
        </w:r>
      </w:hyperlink>
      <w:r w:rsidRPr="006F3321">
        <w:rPr>
          <w:rFonts w:ascii="Arial" w:hAnsi="Arial" w:cs="Arial"/>
          <w:b/>
          <w:sz w:val="22"/>
          <w:szCs w:val="22"/>
        </w:rPr>
        <w:t>, también suelen agruparse en un único movimiento.</w:t>
      </w:r>
    </w:p>
    <w:p w:rsidR="006F3321" w:rsidRPr="006F3321" w:rsidRDefault="006F3321" w:rsidP="006F3321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 xml:space="preserve">Desde inicios del </w:t>
      </w:r>
      <w:hyperlink r:id="rId30" w:tooltip="Siglo XIII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siglo XIII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hasta el </w:t>
      </w:r>
      <w:hyperlink r:id="rId31" w:tooltip="Siglo XIX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siglo XIX</w:t>
        </w:r>
      </w:hyperlink>
      <w:r w:rsidRPr="006F3321">
        <w:rPr>
          <w:rFonts w:ascii="Arial" w:hAnsi="Arial" w:cs="Arial"/>
          <w:b/>
          <w:sz w:val="22"/>
          <w:szCs w:val="22"/>
        </w:rPr>
        <w:t>, muchos compositores han escrito réquiems tan la</w:t>
      </w:r>
      <w:r w:rsidRPr="006F3321">
        <w:rPr>
          <w:rFonts w:ascii="Arial" w:hAnsi="Arial" w:cs="Arial"/>
          <w:b/>
          <w:sz w:val="22"/>
          <w:szCs w:val="22"/>
        </w:rPr>
        <w:t>r</w:t>
      </w:r>
      <w:r w:rsidRPr="006F3321">
        <w:rPr>
          <w:rFonts w:ascii="Arial" w:hAnsi="Arial" w:cs="Arial"/>
          <w:b/>
          <w:sz w:val="22"/>
          <w:szCs w:val="22"/>
        </w:rPr>
        <w:t>gos o util</w:t>
      </w:r>
      <w:r w:rsidRPr="006F3321">
        <w:rPr>
          <w:rFonts w:ascii="Arial" w:hAnsi="Arial" w:cs="Arial"/>
          <w:b/>
          <w:sz w:val="22"/>
          <w:szCs w:val="22"/>
        </w:rPr>
        <w:t>i</w:t>
      </w:r>
      <w:r w:rsidRPr="006F3321">
        <w:rPr>
          <w:rFonts w:ascii="Arial" w:hAnsi="Arial" w:cs="Arial"/>
          <w:b/>
          <w:sz w:val="22"/>
          <w:szCs w:val="22"/>
        </w:rPr>
        <w:t xml:space="preserve">zaban tantos músicos que no podían ser tocados durante un servicio fúnebre habitual. Los réquiems de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Gossec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, </w:t>
      </w:r>
      <w:hyperlink r:id="rId32" w:tooltip="Héctor Berlioz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Héctor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Berlioz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 xml:space="preserve">, </w:t>
      </w:r>
      <w:hyperlink r:id="rId33" w:tooltip="Giuseppe Verdi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Giuseppe Verdi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y </w:t>
      </w:r>
      <w:hyperlink r:id="rId34" w:tooltip="Antonín Dvořák" w:history="1"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Antonín</w:t>
        </w:r>
        <w:proofErr w:type="spellEnd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Dvořák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 xml:space="preserve"> son oratorios. Una co</w:t>
      </w:r>
      <w:r w:rsidRPr="006F3321">
        <w:rPr>
          <w:rFonts w:ascii="Arial" w:hAnsi="Arial" w:cs="Arial"/>
          <w:b/>
          <w:sz w:val="22"/>
          <w:szCs w:val="22"/>
        </w:rPr>
        <w:t>n</w:t>
      </w:r>
      <w:r w:rsidRPr="006F3321">
        <w:rPr>
          <w:rFonts w:ascii="Arial" w:hAnsi="Arial" w:cs="Arial"/>
          <w:b/>
          <w:sz w:val="22"/>
          <w:szCs w:val="22"/>
        </w:rPr>
        <w:t>tra-reacción a esta te</w:t>
      </w:r>
      <w:r w:rsidRPr="006F3321">
        <w:rPr>
          <w:rFonts w:ascii="Arial" w:hAnsi="Arial" w:cs="Arial"/>
          <w:b/>
          <w:sz w:val="22"/>
          <w:szCs w:val="22"/>
        </w:rPr>
        <w:t>n</w:t>
      </w:r>
      <w:r w:rsidRPr="006F3321">
        <w:rPr>
          <w:rFonts w:ascii="Arial" w:hAnsi="Arial" w:cs="Arial"/>
          <w:b/>
          <w:sz w:val="22"/>
          <w:szCs w:val="22"/>
        </w:rPr>
        <w:t xml:space="preserve">dencia vino del </w:t>
      </w:r>
      <w:hyperlink r:id="rId35" w:tooltip="Movimiento ceciliano (aún no redactado)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movimiento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ceciliano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 xml:space="preserve"> que recomendaba un acompañamiento restringido para la música litúrgica y veía de mal gusto la utilización de solistas vocales. </w:t>
      </w:r>
      <w:hyperlink r:id="rId36" w:tooltip="Johannes Brahms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Johannes Brahms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compuso su </w:t>
      </w:r>
      <w:hyperlink r:id="rId37" w:tooltip="Requiem Alemán" w:history="1"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Requiem</w:t>
        </w:r>
        <w:proofErr w:type="spellEnd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Alemán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("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Ein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Deutsches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Requiem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",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Op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>. 45) utilizando solamente te</w:t>
      </w:r>
      <w:r w:rsidRPr="006F3321">
        <w:rPr>
          <w:rFonts w:ascii="Arial" w:hAnsi="Arial" w:cs="Arial"/>
          <w:b/>
          <w:sz w:val="22"/>
          <w:szCs w:val="22"/>
        </w:rPr>
        <w:t>x</w:t>
      </w:r>
      <w:r w:rsidRPr="006F3321">
        <w:rPr>
          <w:rFonts w:ascii="Arial" w:hAnsi="Arial" w:cs="Arial"/>
          <w:b/>
          <w:sz w:val="22"/>
          <w:szCs w:val="22"/>
        </w:rPr>
        <w:t>tos de las Escrituras, dejando de lado la liturgia. Brahms buscó expresar el duelo y la consolación desde el punto de vista del doliente.</w:t>
      </w:r>
    </w:p>
    <w:p w:rsidR="006F3321" w:rsidRPr="006F3321" w:rsidRDefault="006F3321" w:rsidP="006F3321">
      <w:pPr>
        <w:pStyle w:val="Ttulo3"/>
        <w:jc w:val="both"/>
        <w:rPr>
          <w:rFonts w:ascii="Arial" w:hAnsi="Arial" w:cs="Arial"/>
          <w:sz w:val="22"/>
          <w:szCs w:val="22"/>
        </w:rPr>
      </w:pPr>
      <w:r w:rsidRPr="006F3321">
        <w:rPr>
          <w:rStyle w:val="mw-headline"/>
          <w:rFonts w:ascii="Arial" w:hAnsi="Arial" w:cs="Arial"/>
          <w:sz w:val="22"/>
          <w:szCs w:val="22"/>
        </w:rPr>
        <w:t>Desarrollo en el siglo XX</w:t>
      </w:r>
    </w:p>
    <w:p w:rsidR="006F3321" w:rsidRPr="006F3321" w:rsidRDefault="006F3321" w:rsidP="006F3321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>El réquiem ha evolucionado en nuevas direcciones en el último siglo. El género «Réquiem de gu</w:t>
      </w:r>
      <w:r w:rsidRPr="006F3321">
        <w:rPr>
          <w:rFonts w:ascii="Arial" w:hAnsi="Arial" w:cs="Arial"/>
          <w:b/>
          <w:sz w:val="22"/>
          <w:szCs w:val="22"/>
        </w:rPr>
        <w:t>e</w:t>
      </w:r>
      <w:r w:rsidRPr="006F3321">
        <w:rPr>
          <w:rFonts w:ascii="Arial" w:hAnsi="Arial" w:cs="Arial"/>
          <w:b/>
          <w:sz w:val="22"/>
          <w:szCs w:val="22"/>
        </w:rPr>
        <w:t>rra», que consiste en obras dedicadas a la memoria de personas muertas en tiempos de guerra, es seguramente la más destacada. Este gén</w:t>
      </w:r>
      <w:r w:rsidRPr="006F3321">
        <w:rPr>
          <w:rFonts w:ascii="Arial" w:hAnsi="Arial" w:cs="Arial"/>
          <w:b/>
          <w:sz w:val="22"/>
          <w:szCs w:val="22"/>
        </w:rPr>
        <w:t>e</w:t>
      </w:r>
      <w:r w:rsidRPr="006F3321">
        <w:rPr>
          <w:rFonts w:ascii="Arial" w:hAnsi="Arial" w:cs="Arial"/>
          <w:b/>
          <w:sz w:val="22"/>
          <w:szCs w:val="22"/>
        </w:rPr>
        <w:t xml:space="preserve">ro incluye a menudo poemas no litúrgicos o pacifistas; por ejemplo el </w:t>
      </w:r>
      <w:proofErr w:type="spellStart"/>
      <w:r w:rsidRPr="006F3321">
        <w:rPr>
          <w:rFonts w:ascii="Arial" w:hAnsi="Arial" w:cs="Arial"/>
          <w:b/>
          <w:i/>
          <w:iCs/>
          <w:sz w:val="22"/>
          <w:szCs w:val="22"/>
        </w:rPr>
        <w:t>War-Requiem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, de </w:t>
      </w:r>
      <w:hyperlink r:id="rId38" w:tooltip="Benjamin Britten" w:history="1"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Benjamin</w:t>
        </w:r>
        <w:proofErr w:type="spellEnd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Britten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 xml:space="preserve">, yuxtapone el texto latino con poesías de </w:t>
      </w:r>
      <w:hyperlink r:id="rId39" w:tooltip="Wilfred Owen" w:history="1"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Wilfred</w:t>
        </w:r>
        <w:proofErr w:type="spellEnd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Owen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, y el </w:t>
      </w:r>
      <w:proofErr w:type="spellStart"/>
      <w:r w:rsidRPr="006F3321">
        <w:rPr>
          <w:rFonts w:ascii="Arial" w:hAnsi="Arial" w:cs="Arial"/>
          <w:b/>
          <w:i/>
          <w:iCs/>
          <w:sz w:val="22"/>
          <w:szCs w:val="22"/>
        </w:rPr>
        <w:t>Mass</w:t>
      </w:r>
      <w:proofErr w:type="spellEnd"/>
      <w:r w:rsidRPr="006F3321">
        <w:rPr>
          <w:rFonts w:ascii="Arial" w:hAnsi="Arial" w:cs="Arial"/>
          <w:b/>
          <w:i/>
          <w:iCs/>
          <w:sz w:val="22"/>
          <w:szCs w:val="22"/>
        </w:rPr>
        <w:t xml:space="preserve"> in Black</w:t>
      </w:r>
      <w:r w:rsidRPr="006F3321">
        <w:rPr>
          <w:rFonts w:ascii="Arial" w:hAnsi="Arial" w:cs="Arial"/>
          <w:b/>
          <w:sz w:val="22"/>
          <w:szCs w:val="22"/>
        </w:rPr>
        <w:t xml:space="preserve">, de </w:t>
      </w:r>
      <w:hyperlink r:id="rId40" w:tooltip="Robert Steadman (aún no redactado)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Robert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Steadman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 xml:space="preserve">, entremezcla la </w:t>
      </w:r>
      <w:hyperlink r:id="rId41" w:tooltip="Poesía ecologista (aún no redactado)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poesía ecologista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y las </w:t>
      </w:r>
      <w:hyperlink r:id="rId42" w:tooltip="Profecías de Nostradamus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profecías de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Nostradamus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>.</w:t>
      </w:r>
    </w:p>
    <w:p w:rsidR="006F3321" w:rsidRPr="006F3321" w:rsidRDefault="006F3321" w:rsidP="006F3321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 xml:space="preserve">El </w:t>
      </w:r>
      <w:hyperlink r:id="rId43" w:tooltip="Siglo XX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siglo XX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ha visto además el desarrollo de réquiems profanos, escritos para ser tocados sin rel</w:t>
      </w:r>
      <w:r w:rsidRPr="006F3321">
        <w:rPr>
          <w:rFonts w:ascii="Arial" w:hAnsi="Arial" w:cs="Arial"/>
          <w:b/>
          <w:sz w:val="22"/>
          <w:szCs w:val="22"/>
        </w:rPr>
        <w:t>a</w:t>
      </w:r>
      <w:r w:rsidRPr="006F3321">
        <w:rPr>
          <w:rFonts w:ascii="Arial" w:hAnsi="Arial" w:cs="Arial"/>
          <w:b/>
          <w:sz w:val="22"/>
          <w:szCs w:val="22"/>
        </w:rPr>
        <w:t xml:space="preserve">ción con la religión (por ejemplo el </w:t>
      </w:r>
      <w:r w:rsidRPr="006F3321">
        <w:rPr>
          <w:rFonts w:ascii="Arial" w:hAnsi="Arial" w:cs="Arial"/>
          <w:b/>
          <w:i/>
          <w:iCs/>
          <w:sz w:val="22"/>
          <w:szCs w:val="22"/>
        </w:rPr>
        <w:t>Réquiem</w:t>
      </w:r>
      <w:r w:rsidRPr="006F3321">
        <w:rPr>
          <w:rFonts w:ascii="Arial" w:hAnsi="Arial" w:cs="Arial"/>
          <w:b/>
          <w:sz w:val="22"/>
          <w:szCs w:val="22"/>
        </w:rPr>
        <w:t xml:space="preserve"> de </w:t>
      </w:r>
      <w:hyperlink r:id="rId44" w:tooltip="Dmitri Kabalevski" w:history="1"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Dmitri</w:t>
        </w:r>
        <w:proofErr w:type="spellEnd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Kabalevski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 xml:space="preserve"> con los poemas de </w:t>
      </w:r>
      <w:hyperlink r:id="rId45" w:tooltip="Robert Rozhdestvensky (aún no redactado)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Robert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Roz</w:t>
        </w:r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</w:t>
        </w:r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destvensky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 xml:space="preserve">), y algunos compositores han escrito obras puramente instrumentales que titulan réquiem como la </w:t>
      </w:r>
      <w:proofErr w:type="spellStart"/>
      <w:r w:rsidRPr="006F3321">
        <w:rPr>
          <w:rFonts w:ascii="Arial" w:hAnsi="Arial" w:cs="Arial"/>
          <w:b/>
          <w:i/>
          <w:iCs/>
          <w:sz w:val="22"/>
          <w:szCs w:val="22"/>
        </w:rPr>
        <w:t>Sinfonia</w:t>
      </w:r>
      <w:proofErr w:type="spellEnd"/>
      <w:r w:rsidRPr="006F3321">
        <w:rPr>
          <w:rFonts w:ascii="Arial" w:hAnsi="Arial" w:cs="Arial"/>
          <w:b/>
          <w:i/>
          <w:iCs/>
          <w:sz w:val="22"/>
          <w:szCs w:val="22"/>
        </w:rPr>
        <w:t xml:space="preserve"> da </w:t>
      </w:r>
      <w:proofErr w:type="spellStart"/>
      <w:r w:rsidRPr="006F3321">
        <w:rPr>
          <w:rFonts w:ascii="Arial" w:hAnsi="Arial" w:cs="Arial"/>
          <w:b/>
          <w:i/>
          <w:iCs/>
          <w:sz w:val="22"/>
          <w:szCs w:val="22"/>
        </w:rPr>
        <w:t>R</w:t>
      </w:r>
      <w:r w:rsidRPr="006F3321">
        <w:rPr>
          <w:rFonts w:ascii="Arial" w:hAnsi="Arial" w:cs="Arial"/>
          <w:b/>
          <w:i/>
          <w:iCs/>
          <w:sz w:val="22"/>
          <w:szCs w:val="22"/>
        </w:rPr>
        <w:t>e</w:t>
      </w:r>
      <w:r w:rsidRPr="006F3321">
        <w:rPr>
          <w:rFonts w:ascii="Arial" w:hAnsi="Arial" w:cs="Arial"/>
          <w:b/>
          <w:i/>
          <w:iCs/>
          <w:sz w:val="22"/>
          <w:szCs w:val="22"/>
        </w:rPr>
        <w:t>quiem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, del mismo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Britten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>.</w:t>
      </w:r>
    </w:p>
    <w:p w:rsidR="006F3321" w:rsidRPr="006F3321" w:rsidRDefault="006F3321" w:rsidP="006F3321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 xml:space="preserve">Obra escrita en 2011 es </w:t>
      </w:r>
      <w:r w:rsidRPr="006F3321">
        <w:rPr>
          <w:rFonts w:ascii="Arial" w:hAnsi="Arial" w:cs="Arial"/>
          <w:b/>
          <w:i/>
          <w:iCs/>
          <w:sz w:val="22"/>
          <w:szCs w:val="22"/>
        </w:rPr>
        <w:t>La carne de los muertos (</w:t>
      </w:r>
      <w:proofErr w:type="spellStart"/>
      <w:r w:rsidRPr="006F3321">
        <w:rPr>
          <w:rFonts w:ascii="Arial" w:hAnsi="Arial" w:cs="Arial"/>
          <w:b/>
          <w:i/>
          <w:iCs/>
          <w:sz w:val="22"/>
          <w:szCs w:val="22"/>
        </w:rPr>
        <w:t>Requiem</w:t>
      </w:r>
      <w:proofErr w:type="spellEnd"/>
      <w:r w:rsidRPr="006F3321">
        <w:rPr>
          <w:rFonts w:ascii="Arial" w:hAnsi="Arial" w:cs="Arial"/>
          <w:b/>
          <w:i/>
          <w:iCs/>
          <w:sz w:val="22"/>
          <w:szCs w:val="22"/>
        </w:rPr>
        <w:t>)</w:t>
      </w:r>
      <w:r w:rsidRPr="006F3321">
        <w:rPr>
          <w:rFonts w:ascii="Arial" w:hAnsi="Arial" w:cs="Arial"/>
          <w:b/>
          <w:sz w:val="22"/>
          <w:szCs w:val="22"/>
        </w:rPr>
        <w:t xml:space="preserve">, del doctor </w:t>
      </w:r>
      <w:hyperlink r:id="rId46" w:tooltip="Tsanoff Hristo (aún no redactado)" w:history="1"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Tsanoff</w:t>
        </w:r>
        <w:proofErr w:type="spellEnd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Hristo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>, DM.</w:t>
      </w:r>
    </w:p>
    <w:p w:rsidR="006F3321" w:rsidRDefault="006F3321" w:rsidP="006F3321">
      <w:pPr>
        <w:pStyle w:val="Ttulo3"/>
        <w:jc w:val="center"/>
      </w:pPr>
      <w:r>
        <w:rPr>
          <w:rStyle w:val="mw-headline"/>
        </w:rPr>
        <w:t>Movimientos añadidos</w:t>
      </w:r>
    </w:p>
    <w:p w:rsidR="006F3321" w:rsidRPr="006F3321" w:rsidRDefault="006F3321" w:rsidP="006F3321">
      <w:pPr>
        <w:pStyle w:val="NormalWeb"/>
        <w:rPr>
          <w:rFonts w:ascii="Arial" w:hAnsi="Arial" w:cs="Arial"/>
          <w:b/>
          <w:sz w:val="22"/>
          <w:szCs w:val="22"/>
        </w:rPr>
      </w:pPr>
      <w:r w:rsidRPr="006F3321">
        <w:rPr>
          <w:rFonts w:ascii="Arial" w:hAnsi="Arial" w:cs="Arial"/>
          <w:b/>
          <w:sz w:val="22"/>
          <w:szCs w:val="22"/>
        </w:rPr>
        <w:t xml:space="preserve">Ciertos arreglos contienen textos adicionales, como el motete «Pie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Jesu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>» (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Dvořák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Fauré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Duruflé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, </w:t>
      </w:r>
      <w:hyperlink r:id="rId47" w:tooltip="Andrew Lloyd Webber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Andrew Lloyd Webber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y Carlos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Aznárez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;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Faur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lo ha situado para soprano solo en el centro). El «L</w:t>
      </w:r>
      <w:r w:rsidRPr="006F3321">
        <w:rPr>
          <w:rFonts w:ascii="Arial" w:hAnsi="Arial" w:cs="Arial"/>
          <w:b/>
          <w:sz w:val="22"/>
          <w:szCs w:val="22"/>
        </w:rPr>
        <w:t>i</w:t>
      </w:r>
      <w:r w:rsidRPr="006F3321">
        <w:rPr>
          <w:rFonts w:ascii="Arial" w:hAnsi="Arial" w:cs="Arial"/>
          <w:b/>
          <w:sz w:val="22"/>
          <w:szCs w:val="22"/>
        </w:rPr>
        <w:t xml:space="preserve">bera me» (proveniente de la «Absolución») y el «In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paradisum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>» (provenie</w:t>
      </w:r>
      <w:r w:rsidRPr="006F3321">
        <w:rPr>
          <w:rFonts w:ascii="Arial" w:hAnsi="Arial" w:cs="Arial"/>
          <w:b/>
          <w:sz w:val="22"/>
          <w:szCs w:val="22"/>
        </w:rPr>
        <w:t>n</w:t>
      </w:r>
      <w:r w:rsidRPr="006F3321">
        <w:rPr>
          <w:rFonts w:ascii="Arial" w:hAnsi="Arial" w:cs="Arial"/>
          <w:b/>
          <w:sz w:val="22"/>
          <w:szCs w:val="22"/>
        </w:rPr>
        <w:t xml:space="preserve">te del enterramiento que, en el caso de los </w:t>
      </w:r>
      <w:hyperlink r:id="rId48" w:tooltip="Funeral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funerales</w:t>
        </w:r>
      </w:hyperlink>
      <w:r w:rsidRPr="006F3321">
        <w:rPr>
          <w:rFonts w:ascii="Arial" w:hAnsi="Arial" w:cs="Arial"/>
          <w:b/>
          <w:sz w:val="22"/>
          <w:szCs w:val="22"/>
        </w:rPr>
        <w:t>, sigue a la misa) terminan ciertas composiciones. También se han co</w:t>
      </w:r>
      <w:r w:rsidRPr="006F3321">
        <w:rPr>
          <w:rFonts w:ascii="Arial" w:hAnsi="Arial" w:cs="Arial"/>
          <w:b/>
          <w:sz w:val="22"/>
          <w:szCs w:val="22"/>
        </w:rPr>
        <w:t>m</w:t>
      </w:r>
      <w:r w:rsidRPr="006F3321">
        <w:rPr>
          <w:rFonts w:ascii="Arial" w:hAnsi="Arial" w:cs="Arial"/>
          <w:b/>
          <w:sz w:val="22"/>
          <w:szCs w:val="22"/>
        </w:rPr>
        <w:t xml:space="preserve">puesto otros movimientos, como los </w:t>
      </w:r>
      <w:hyperlink r:id="rId49" w:tooltip="Salmo inglés (aún no redactado)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salmos ingleses</w:t>
        </w:r>
      </w:hyperlink>
      <w:r w:rsidRPr="006F3321">
        <w:rPr>
          <w:rFonts w:ascii="Arial" w:hAnsi="Arial" w:cs="Arial"/>
          <w:b/>
          <w:sz w:val="22"/>
          <w:szCs w:val="22"/>
        </w:rPr>
        <w:t xml:space="preserve"> «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Out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the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Deep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>» y «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The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Lord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is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My </w:t>
      </w:r>
      <w:proofErr w:type="spellStart"/>
      <w:r w:rsidRPr="006F3321">
        <w:rPr>
          <w:rFonts w:ascii="Arial" w:hAnsi="Arial" w:cs="Arial"/>
          <w:b/>
          <w:sz w:val="22"/>
          <w:szCs w:val="22"/>
        </w:rPr>
        <w:t>She</w:t>
      </w:r>
      <w:r w:rsidRPr="006F3321">
        <w:rPr>
          <w:rFonts w:ascii="Arial" w:hAnsi="Arial" w:cs="Arial"/>
          <w:b/>
          <w:sz w:val="22"/>
          <w:szCs w:val="22"/>
        </w:rPr>
        <w:t>p</w:t>
      </w:r>
      <w:r w:rsidRPr="006F3321">
        <w:rPr>
          <w:rFonts w:ascii="Arial" w:hAnsi="Arial" w:cs="Arial"/>
          <w:b/>
          <w:sz w:val="22"/>
          <w:szCs w:val="22"/>
        </w:rPr>
        <w:t>herd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», incluidos en el </w:t>
      </w:r>
      <w:proofErr w:type="spellStart"/>
      <w:r w:rsidRPr="006F3321">
        <w:rPr>
          <w:rFonts w:ascii="Arial" w:hAnsi="Arial" w:cs="Arial"/>
          <w:b/>
          <w:i/>
          <w:iCs/>
          <w:sz w:val="22"/>
          <w:szCs w:val="22"/>
        </w:rPr>
        <w:t>Requiem</w:t>
      </w:r>
      <w:proofErr w:type="spellEnd"/>
      <w:r w:rsidRPr="006F3321">
        <w:rPr>
          <w:rFonts w:ascii="Arial" w:hAnsi="Arial" w:cs="Arial"/>
          <w:b/>
          <w:sz w:val="22"/>
          <w:szCs w:val="22"/>
        </w:rPr>
        <w:t xml:space="preserve"> de </w:t>
      </w:r>
      <w:hyperlink r:id="rId50" w:tooltip="John Rutter" w:history="1"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John </w:t>
        </w:r>
        <w:proofErr w:type="spellStart"/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Ru</w:t>
        </w:r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</w:t>
        </w:r>
        <w:r w:rsidRPr="006F33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ter</w:t>
        </w:r>
        <w:proofErr w:type="spellEnd"/>
      </w:hyperlink>
      <w:r w:rsidRPr="006F3321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8"/>
        <w:gridCol w:w="3416"/>
        <w:gridCol w:w="4822"/>
      </w:tblGrid>
      <w:tr w:rsidR="006F3321" w:rsidTr="006F3321">
        <w:trPr>
          <w:tblHeader/>
          <w:tblCellSpacing w:w="15" w:type="dxa"/>
        </w:trPr>
        <w:tc>
          <w:tcPr>
            <w:tcW w:w="2250" w:type="dxa"/>
            <w:shd w:val="clear" w:color="auto" w:fill="E6E6FA"/>
            <w:vAlign w:val="center"/>
            <w:hideMark/>
          </w:tcPr>
          <w:p w:rsidR="006F3321" w:rsidRDefault="006F33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Nombre</w:t>
            </w:r>
          </w:p>
        </w:tc>
        <w:tc>
          <w:tcPr>
            <w:tcW w:w="5250" w:type="dxa"/>
            <w:shd w:val="clear" w:color="auto" w:fill="E6E6FA"/>
            <w:vAlign w:val="center"/>
            <w:hideMark/>
          </w:tcPr>
          <w:p w:rsidR="006F3321" w:rsidRDefault="006F33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Texto en latín</w:t>
            </w:r>
          </w:p>
        </w:tc>
        <w:tc>
          <w:tcPr>
            <w:tcW w:w="5250" w:type="dxa"/>
            <w:shd w:val="clear" w:color="auto" w:fill="E6E6FA"/>
            <w:vAlign w:val="center"/>
            <w:hideMark/>
          </w:tcPr>
          <w:p w:rsidR="006F3321" w:rsidRDefault="006F33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Texto en español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b/>
                <w:bCs/>
              </w:rPr>
              <w:t>Libera me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t xml:space="preserve">Libera me, Domine, de </w:t>
            </w:r>
            <w:proofErr w:type="spellStart"/>
            <w:r>
              <w:t>morte</w:t>
            </w:r>
            <w:proofErr w:type="spellEnd"/>
            <w:r>
              <w:t xml:space="preserve"> </w:t>
            </w:r>
            <w:proofErr w:type="spellStart"/>
            <w:r>
              <w:t>æterna</w:t>
            </w:r>
            <w:proofErr w:type="spellEnd"/>
            <w:r>
              <w:t xml:space="preserve">, in die illa tremenda, </w:t>
            </w:r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coeli</w:t>
            </w:r>
            <w:proofErr w:type="spellEnd"/>
            <w:r>
              <w:t xml:space="preserve"> </w:t>
            </w:r>
            <w:proofErr w:type="spellStart"/>
            <w:r>
              <w:t>movendi</w:t>
            </w:r>
            <w:proofErr w:type="spellEnd"/>
            <w:r>
              <w:t xml:space="preserve"> </w:t>
            </w:r>
            <w:proofErr w:type="spellStart"/>
            <w:r>
              <w:t>sunt</w:t>
            </w:r>
            <w:proofErr w:type="spellEnd"/>
            <w:r>
              <w:t xml:space="preserve"> et </w:t>
            </w:r>
            <w:proofErr w:type="spellStart"/>
            <w:r>
              <w:t>terra</w:t>
            </w:r>
            <w:proofErr w:type="spellEnd"/>
            <w:r>
              <w:t>.</w:t>
            </w:r>
            <w:r>
              <w:br/>
            </w:r>
            <w:proofErr w:type="spellStart"/>
            <w:r>
              <w:t>Dum</w:t>
            </w:r>
            <w:proofErr w:type="spellEnd"/>
            <w:r>
              <w:t xml:space="preserve"> </w:t>
            </w:r>
            <w:proofErr w:type="spellStart"/>
            <w:r>
              <w:t>veneris</w:t>
            </w:r>
            <w:proofErr w:type="spellEnd"/>
            <w:r>
              <w:t xml:space="preserve"> </w:t>
            </w:r>
            <w:proofErr w:type="spellStart"/>
            <w:r>
              <w:t>judicare</w:t>
            </w:r>
            <w:proofErr w:type="spellEnd"/>
            <w:r>
              <w:t xml:space="preserve"> </w:t>
            </w:r>
            <w:proofErr w:type="spellStart"/>
            <w:r>
              <w:t>sæculum</w:t>
            </w:r>
            <w:proofErr w:type="spellEnd"/>
            <w:r>
              <w:t xml:space="preserve"> per </w:t>
            </w:r>
            <w:proofErr w:type="spellStart"/>
            <w:r>
              <w:t>ignem</w:t>
            </w:r>
            <w:proofErr w:type="spellEnd"/>
            <w:r>
              <w:t>.</w:t>
            </w:r>
            <w:r>
              <w:br/>
              <w:t xml:space="preserve">Tremens </w:t>
            </w:r>
            <w:proofErr w:type="spellStart"/>
            <w:r>
              <w:t>factus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 xml:space="preserve"> ego et </w:t>
            </w:r>
            <w:proofErr w:type="spellStart"/>
            <w:r>
              <w:lastRenderedPageBreak/>
              <w:t>timeo</w:t>
            </w:r>
            <w:proofErr w:type="spellEnd"/>
            <w:r>
              <w:t xml:space="preserve">, </w:t>
            </w:r>
            <w:proofErr w:type="spellStart"/>
            <w:r>
              <w:t>dum</w:t>
            </w:r>
            <w:proofErr w:type="spellEnd"/>
            <w:r>
              <w:t xml:space="preserve"> </w:t>
            </w:r>
            <w:proofErr w:type="spellStart"/>
            <w:r>
              <w:t>discussio</w:t>
            </w:r>
            <w:proofErr w:type="spellEnd"/>
            <w:r>
              <w:t xml:space="preserve"> </w:t>
            </w:r>
            <w:proofErr w:type="spellStart"/>
            <w:r>
              <w:t>venerit</w:t>
            </w:r>
            <w:proofErr w:type="spellEnd"/>
            <w:r>
              <w:t xml:space="preserve"> </w:t>
            </w:r>
            <w:proofErr w:type="spellStart"/>
            <w:r>
              <w:t>atque</w:t>
            </w:r>
            <w:proofErr w:type="spellEnd"/>
            <w:r>
              <w:t xml:space="preserve"> ventura ira.</w:t>
            </w:r>
            <w:r>
              <w:br/>
            </w:r>
            <w:proofErr w:type="spellStart"/>
            <w:r>
              <w:t>Dies</w:t>
            </w:r>
            <w:proofErr w:type="spellEnd"/>
            <w:r>
              <w:t xml:space="preserve"> </w:t>
            </w:r>
            <w:proofErr w:type="spellStart"/>
            <w:r>
              <w:t>iræ</w:t>
            </w:r>
            <w:proofErr w:type="spellEnd"/>
            <w:r>
              <w:t xml:space="preserve">, </w:t>
            </w:r>
            <w:proofErr w:type="spellStart"/>
            <w:r>
              <w:t>dies</w:t>
            </w:r>
            <w:proofErr w:type="spellEnd"/>
            <w:r>
              <w:t xml:space="preserve"> illa, </w:t>
            </w:r>
            <w:proofErr w:type="spellStart"/>
            <w:r>
              <w:t>calamitatis</w:t>
            </w:r>
            <w:proofErr w:type="spellEnd"/>
            <w:r>
              <w:t xml:space="preserve"> et </w:t>
            </w:r>
            <w:proofErr w:type="spellStart"/>
            <w:r>
              <w:t>miseriæ</w:t>
            </w:r>
            <w:proofErr w:type="spellEnd"/>
            <w:r>
              <w:t xml:space="preserve">, </w:t>
            </w:r>
            <w:proofErr w:type="spellStart"/>
            <w:r>
              <w:t>dies</w:t>
            </w:r>
            <w:proofErr w:type="spellEnd"/>
            <w:r>
              <w:t xml:space="preserve"> magna et amara </w:t>
            </w:r>
            <w:proofErr w:type="spellStart"/>
            <w:r>
              <w:t>valde</w:t>
            </w:r>
            <w:proofErr w:type="spellEnd"/>
            <w:r>
              <w:t>.</w:t>
            </w:r>
            <w:r>
              <w:br/>
            </w:r>
            <w:proofErr w:type="spellStart"/>
            <w:r>
              <w:t>Requiem</w:t>
            </w:r>
            <w:proofErr w:type="spellEnd"/>
            <w:r>
              <w:t xml:space="preserve"> </w:t>
            </w:r>
            <w:proofErr w:type="spellStart"/>
            <w:r>
              <w:t>æternam</w:t>
            </w:r>
            <w:proofErr w:type="spellEnd"/>
            <w:r>
              <w:t xml:space="preserve"> dona </w:t>
            </w:r>
            <w:proofErr w:type="spellStart"/>
            <w:r>
              <w:t>eis</w:t>
            </w:r>
            <w:proofErr w:type="spellEnd"/>
            <w:r>
              <w:t xml:space="preserve">, Domine: et lux perpetua </w:t>
            </w:r>
            <w:proofErr w:type="spellStart"/>
            <w:r>
              <w:t>luceat</w:t>
            </w:r>
            <w:proofErr w:type="spellEnd"/>
            <w:r>
              <w:t xml:space="preserve"> </w:t>
            </w:r>
            <w:proofErr w:type="spellStart"/>
            <w:r>
              <w:t>eis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lastRenderedPageBreak/>
              <w:t>Líbrame, Señor, de la muerte eterna, en aquel tremendo día, Cuando tiemblen los cielos y la tierra.</w:t>
            </w:r>
            <w:r>
              <w:br/>
              <w:t>cuando vengas a juzgar al mundo con el fuego.</w:t>
            </w:r>
            <w:r>
              <w:br/>
              <w:t>Temblando estoy y temo, mientras llega el juicio y la ira venidera.</w:t>
            </w:r>
            <w:r>
              <w:br/>
            </w:r>
            <w:r>
              <w:lastRenderedPageBreak/>
              <w:t>Día aquel, día de ira, de calamidad y mis</w:t>
            </w:r>
            <w:r>
              <w:t>e</w:t>
            </w:r>
            <w:r>
              <w:t>ria, día grande y amargo.</w:t>
            </w:r>
            <w:r>
              <w:br/>
              <w:t>Dales, Señor, el descanso eterno, y brille ante sus ojos la luz perpetua.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F3321" w:rsidRDefault="006F3321">
            <w:r>
              <w:rPr>
                <w:b/>
                <w:bCs/>
              </w:rPr>
              <w:lastRenderedPageBreak/>
              <w:t xml:space="preserve">In </w:t>
            </w:r>
            <w:proofErr w:type="spellStart"/>
            <w:r>
              <w:rPr>
                <w:b/>
                <w:bCs/>
              </w:rPr>
              <w:t>paradisum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3321" w:rsidRDefault="006F3321">
            <w:r>
              <w:t xml:space="preserve">In </w:t>
            </w:r>
            <w:proofErr w:type="spellStart"/>
            <w:r>
              <w:t>paradisum</w:t>
            </w:r>
            <w:proofErr w:type="spellEnd"/>
            <w:r>
              <w:t xml:space="preserve"> </w:t>
            </w:r>
            <w:proofErr w:type="spellStart"/>
            <w:r>
              <w:t>deducant</w:t>
            </w:r>
            <w:proofErr w:type="spellEnd"/>
            <w:r>
              <w:t xml:space="preserve"> te </w:t>
            </w:r>
            <w:proofErr w:type="spellStart"/>
            <w:r>
              <w:t>A</w:t>
            </w:r>
            <w:r>
              <w:t>n</w:t>
            </w:r>
            <w:r>
              <w:t>geli</w:t>
            </w:r>
            <w:proofErr w:type="spellEnd"/>
            <w:r>
              <w:t xml:space="preserve">; in </w:t>
            </w:r>
            <w:proofErr w:type="spellStart"/>
            <w:r>
              <w:t>tuo</w:t>
            </w:r>
            <w:proofErr w:type="spellEnd"/>
            <w:r>
              <w:t xml:space="preserve"> </w:t>
            </w:r>
            <w:proofErr w:type="spellStart"/>
            <w:r>
              <w:t>adventu</w:t>
            </w:r>
            <w:proofErr w:type="spellEnd"/>
            <w:r>
              <w:t xml:space="preserve"> </w:t>
            </w:r>
            <w:proofErr w:type="spellStart"/>
            <w:r>
              <w:t>suscipiant</w:t>
            </w:r>
            <w:proofErr w:type="spellEnd"/>
            <w:r>
              <w:t xml:space="preserve"> te </w:t>
            </w:r>
            <w:proofErr w:type="spellStart"/>
            <w:r>
              <w:t>martyres</w:t>
            </w:r>
            <w:proofErr w:type="spellEnd"/>
            <w:r>
              <w:t xml:space="preserve">, et </w:t>
            </w:r>
            <w:proofErr w:type="spellStart"/>
            <w:r>
              <w:t>perducant</w:t>
            </w:r>
            <w:proofErr w:type="spellEnd"/>
            <w:r>
              <w:t xml:space="preserve"> te in </w:t>
            </w:r>
            <w:proofErr w:type="spellStart"/>
            <w:r>
              <w:t>civitatem</w:t>
            </w:r>
            <w:proofErr w:type="spellEnd"/>
            <w:r>
              <w:t xml:space="preserve"> </w:t>
            </w:r>
            <w:proofErr w:type="spellStart"/>
            <w:r>
              <w:t>sanctam</w:t>
            </w:r>
            <w:proofErr w:type="spellEnd"/>
            <w:r>
              <w:t xml:space="preserve"> </w:t>
            </w:r>
            <w:proofErr w:type="spellStart"/>
            <w:r>
              <w:t>Ierusalem</w:t>
            </w:r>
            <w:proofErr w:type="spellEnd"/>
            <w:r>
              <w:t>.</w:t>
            </w:r>
            <w:r>
              <w:br/>
            </w:r>
            <w:proofErr w:type="spellStart"/>
            <w:r>
              <w:t>Chorus</w:t>
            </w:r>
            <w:proofErr w:type="spellEnd"/>
            <w:r>
              <w:t xml:space="preserve"> </w:t>
            </w:r>
            <w:proofErr w:type="spellStart"/>
            <w:r>
              <w:t>angelorum</w:t>
            </w:r>
            <w:proofErr w:type="spellEnd"/>
            <w:r>
              <w:t xml:space="preserve"> te </w:t>
            </w:r>
            <w:proofErr w:type="spellStart"/>
            <w:r>
              <w:t>suscipiat</w:t>
            </w:r>
            <w:proofErr w:type="spellEnd"/>
            <w:r>
              <w:t xml:space="preserve">, et cum </w:t>
            </w:r>
            <w:proofErr w:type="spellStart"/>
            <w:r>
              <w:t>Lazaro</w:t>
            </w:r>
            <w:proofErr w:type="spellEnd"/>
            <w:r>
              <w:t xml:space="preserve"> </w:t>
            </w:r>
            <w:proofErr w:type="spellStart"/>
            <w:r>
              <w:t>quondam</w:t>
            </w:r>
            <w:proofErr w:type="spellEnd"/>
            <w:r>
              <w:t xml:space="preserve"> </w:t>
            </w:r>
            <w:proofErr w:type="spellStart"/>
            <w:r>
              <w:t>pa</w:t>
            </w:r>
            <w:r>
              <w:t>u</w:t>
            </w:r>
            <w:r>
              <w:t>pere</w:t>
            </w:r>
            <w:proofErr w:type="spellEnd"/>
            <w:r>
              <w:t xml:space="preserve"> </w:t>
            </w:r>
            <w:proofErr w:type="spellStart"/>
            <w:r>
              <w:t>æternam</w:t>
            </w:r>
            <w:proofErr w:type="spellEnd"/>
            <w:r>
              <w:t xml:space="preserve"> habeas </w:t>
            </w:r>
            <w:proofErr w:type="spellStart"/>
            <w:r>
              <w:t>r</w:t>
            </w:r>
            <w:r>
              <w:t>e</w:t>
            </w:r>
            <w:r>
              <w:t>quiem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3321" w:rsidRDefault="006F3321">
            <w:r>
              <w:t>Al paraíso te conduzcan los Ángeles; a tu llegada te reciban los mártires, y te condu</w:t>
            </w:r>
            <w:r>
              <w:t>z</w:t>
            </w:r>
            <w:r>
              <w:t>can a la ciudad santa de Jerusalén. El coro de los ángeles te reciba, y con Lázaro otrora pobre tengas el eterno descanso.</w:t>
            </w:r>
          </w:p>
        </w:tc>
      </w:tr>
      <w:tr w:rsidR="006F3321" w:rsidTr="006F33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rPr>
                <w:b/>
                <w:bCs/>
              </w:rPr>
              <w:t xml:space="preserve">Pie </w:t>
            </w:r>
            <w:proofErr w:type="spellStart"/>
            <w:r>
              <w:rPr>
                <w:b/>
                <w:bCs/>
              </w:rPr>
              <w:t>Jesu</w:t>
            </w:r>
            <w:proofErr w:type="spellEnd"/>
          </w:p>
          <w:p w:rsidR="006F3321" w:rsidRDefault="006F3321">
            <w:pPr>
              <w:pStyle w:val="NormalWeb"/>
            </w:pPr>
            <w:r>
              <w:t xml:space="preserve">(combina y </w:t>
            </w:r>
            <w:proofErr w:type="spellStart"/>
            <w:r>
              <w:t>parfrasea</w:t>
            </w:r>
            <w:proofErr w:type="spellEnd"/>
            <w:r>
              <w:t xml:space="preserve"> los versos finales del «</w:t>
            </w:r>
            <w:proofErr w:type="spellStart"/>
            <w:r>
              <w:t>Dies</w:t>
            </w:r>
            <w:proofErr w:type="spellEnd"/>
            <w:r>
              <w:t xml:space="preserve"> </w:t>
            </w:r>
            <w:proofErr w:type="spellStart"/>
            <w:r>
              <w:t>Irae</w:t>
            </w:r>
            <w:proofErr w:type="spellEnd"/>
            <w:r>
              <w:t>» y del «A</w:t>
            </w:r>
            <w:r>
              <w:t>g</w:t>
            </w:r>
            <w:r>
              <w:t>nus Dei».)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t xml:space="preserve">Pie </w:t>
            </w:r>
            <w:proofErr w:type="spellStart"/>
            <w:r>
              <w:t>Iesu</w:t>
            </w:r>
            <w:proofErr w:type="spellEnd"/>
            <w:r>
              <w:t xml:space="preserve"> Domine, dona </w:t>
            </w:r>
            <w:proofErr w:type="spellStart"/>
            <w:r>
              <w:t>eis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t>e</w:t>
            </w:r>
            <w:r>
              <w:t>quiem</w:t>
            </w:r>
            <w:proofErr w:type="spellEnd"/>
            <w:r>
              <w:t>.</w:t>
            </w:r>
            <w:r>
              <w:br/>
              <w:t xml:space="preserve">Dona </w:t>
            </w:r>
            <w:proofErr w:type="spellStart"/>
            <w:r>
              <w:t>eis</w:t>
            </w:r>
            <w:proofErr w:type="spellEnd"/>
            <w:r>
              <w:t xml:space="preserve"> </w:t>
            </w:r>
            <w:proofErr w:type="spellStart"/>
            <w:r>
              <w:t>requiem</w:t>
            </w:r>
            <w:proofErr w:type="spellEnd"/>
            <w:r>
              <w:t xml:space="preserve"> </w:t>
            </w:r>
            <w:proofErr w:type="spellStart"/>
            <w:r>
              <w:t>sempite</w:t>
            </w:r>
            <w:r>
              <w:t>r</w:t>
            </w:r>
            <w:r>
              <w:t>nam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6F3321" w:rsidRDefault="006F3321">
            <w:r>
              <w:t xml:space="preserve">Señor Jesús Piadoso, </w:t>
            </w:r>
            <w:proofErr w:type="spellStart"/>
            <w:r>
              <w:t>dáles</w:t>
            </w:r>
            <w:proofErr w:type="spellEnd"/>
            <w:r>
              <w:t xml:space="preserve"> el descanso.</w:t>
            </w:r>
            <w:r>
              <w:br/>
            </w:r>
            <w:proofErr w:type="spellStart"/>
            <w:r>
              <w:t>Dáles</w:t>
            </w:r>
            <w:proofErr w:type="spellEnd"/>
            <w:r>
              <w:t xml:space="preserve"> el descanso eterno.</w:t>
            </w:r>
          </w:p>
        </w:tc>
      </w:tr>
    </w:tbl>
    <w:p w:rsidR="006F3321" w:rsidRDefault="006F3321" w:rsidP="008E75C0"/>
    <w:p w:rsidR="006F3321" w:rsidRPr="008E75C0" w:rsidRDefault="006F3321" w:rsidP="008E75C0"/>
    <w:sectPr w:rsidR="006F3321" w:rsidRPr="008E75C0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3321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BF5852"/>
    <w:rsid w:val="00C00C4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Liturgia_cat%C3%B3lica" TargetMode="External"/><Relationship Id="rId18" Type="http://schemas.openxmlformats.org/officeDocument/2006/relationships/hyperlink" Target="https://es.wikipedia.org/wiki/R%C3%A9quiem" TargetMode="External"/><Relationship Id="rId26" Type="http://schemas.openxmlformats.org/officeDocument/2006/relationships/hyperlink" Target="https://es.wikipedia.org/wiki/Maurice_Durufl%C3%A9" TargetMode="External"/><Relationship Id="rId39" Type="http://schemas.openxmlformats.org/officeDocument/2006/relationships/hyperlink" Target="https://es.wikipedia.org/wiki/Wilfred_Ow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Renacimiento" TargetMode="External"/><Relationship Id="rId34" Type="http://schemas.openxmlformats.org/officeDocument/2006/relationships/hyperlink" Target="https://es.wikipedia.org/wiki/Anton%C3%ADn_Dvo%C5%99%C3%A1k" TargetMode="External"/><Relationship Id="rId42" Type="http://schemas.openxmlformats.org/officeDocument/2006/relationships/hyperlink" Target="https://es.wikipedia.org/wiki/Profec%C3%ADas_de_Nostradamus" TargetMode="External"/><Relationship Id="rId47" Type="http://schemas.openxmlformats.org/officeDocument/2006/relationships/hyperlink" Target="https://es.wikipedia.org/wiki/Andrew_Lloyd_Webber" TargetMode="External"/><Relationship Id="rId50" Type="http://schemas.openxmlformats.org/officeDocument/2006/relationships/hyperlink" Target="https://es.wikipedia.org/wiki/John_Rutter" TargetMode="External"/><Relationship Id="rId7" Type="http://schemas.openxmlformats.org/officeDocument/2006/relationships/hyperlink" Target="https://es.wikipedia.org/wiki/Sanctus" TargetMode="External"/><Relationship Id="rId12" Type="http://schemas.openxmlformats.org/officeDocument/2006/relationships/hyperlink" Target="https://es.wikipedia.org/w/index.php?title=Graduale_romano&amp;action=edit&amp;redlink=1" TargetMode="External"/><Relationship Id="rId17" Type="http://schemas.openxmlformats.org/officeDocument/2006/relationships/hyperlink" Target="https://es.wikipedia.org/wiki/Guillaume_Dufay" TargetMode="External"/><Relationship Id="rId25" Type="http://schemas.openxmlformats.org/officeDocument/2006/relationships/hyperlink" Target="https://es.wikipedia.org/wiki/Gabriel_Faur%C3%A9" TargetMode="External"/><Relationship Id="rId33" Type="http://schemas.openxmlformats.org/officeDocument/2006/relationships/hyperlink" Target="https://es.wikipedia.org/wiki/Giuseppe_Verdi" TargetMode="External"/><Relationship Id="rId38" Type="http://schemas.openxmlformats.org/officeDocument/2006/relationships/hyperlink" Target="https://es.wikipedia.org/wiki/Benjamin_Britten" TargetMode="External"/><Relationship Id="rId46" Type="http://schemas.openxmlformats.org/officeDocument/2006/relationships/hyperlink" Target="https://es.wikipedia.org/w/index.php?title=Tsanoff_Hristo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Johannes_Ockeghem" TargetMode="External"/><Relationship Id="rId20" Type="http://schemas.openxmlformats.org/officeDocument/2006/relationships/hyperlink" Target="https://es.wikipedia.org/wiki/Antoine_Brumel" TargetMode="External"/><Relationship Id="rId29" Type="http://schemas.openxmlformats.org/officeDocument/2006/relationships/hyperlink" Target="https://es.wikipedia.org/wiki/P%C3%ADo_V" TargetMode="External"/><Relationship Id="rId41" Type="http://schemas.openxmlformats.org/officeDocument/2006/relationships/hyperlink" Target="https://es.wikipedia.org/w/index.php?title=Poes%C3%ADa_ecologista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/index.php?title=Misa_votiva&amp;action=edit&amp;redlink=1" TargetMode="External"/><Relationship Id="rId11" Type="http://schemas.openxmlformats.org/officeDocument/2006/relationships/hyperlink" Target="https://es.wikipedia.org/wiki/Ant%C3%ADfona" TargetMode="External"/><Relationship Id="rId24" Type="http://schemas.openxmlformats.org/officeDocument/2006/relationships/hyperlink" Target="https://es.wikipedia.org/wiki/Liturgia" TargetMode="External"/><Relationship Id="rId32" Type="http://schemas.openxmlformats.org/officeDocument/2006/relationships/hyperlink" Target="https://es.wikipedia.org/wiki/H%C3%A9ctor_Berlioz" TargetMode="External"/><Relationship Id="rId37" Type="http://schemas.openxmlformats.org/officeDocument/2006/relationships/hyperlink" Target="https://es.wikipedia.org/wiki/Requiem_Alem%C3%A1n" TargetMode="External"/><Relationship Id="rId40" Type="http://schemas.openxmlformats.org/officeDocument/2006/relationships/hyperlink" Target="https://es.wikipedia.org/w/index.php?title=Robert_Steadman&amp;action=edit&amp;redlink=1" TargetMode="External"/><Relationship Id="rId45" Type="http://schemas.openxmlformats.org/officeDocument/2006/relationships/hyperlink" Target="https://es.wikipedia.org/w/index.php?title=Robert_Rozhdestvensky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Polif%C3%B3nica" TargetMode="External"/><Relationship Id="rId23" Type="http://schemas.openxmlformats.org/officeDocument/2006/relationships/hyperlink" Target="https://es.wikipedia.org/w/index.php?title=Cantante_solista&amp;action=edit&amp;redlink=1" TargetMode="External"/><Relationship Id="rId28" Type="http://schemas.openxmlformats.org/officeDocument/2006/relationships/hyperlink" Target="https://es.wikipedia.org/wiki/Wolfgang_Amadeus_Mozart" TargetMode="External"/><Relationship Id="rId36" Type="http://schemas.openxmlformats.org/officeDocument/2006/relationships/hyperlink" Target="https://es.wikipedia.org/wiki/Johannes_Brahms" TargetMode="External"/><Relationship Id="rId49" Type="http://schemas.openxmlformats.org/officeDocument/2006/relationships/hyperlink" Target="https://es.wikipedia.org/w/index.php?title=Salmo_ingl%C3%A9s&amp;action=edit&amp;redlink=1" TargetMode="External"/><Relationship Id="rId10" Type="http://schemas.openxmlformats.org/officeDocument/2006/relationships/hyperlink" Target="https://es.wikipedia.org/wiki/Tracto" TargetMode="External"/><Relationship Id="rId19" Type="http://schemas.openxmlformats.org/officeDocument/2006/relationships/hyperlink" Target="https://es.wikipedia.org/wiki/Concilio_de_Trento" TargetMode="External"/><Relationship Id="rId31" Type="http://schemas.openxmlformats.org/officeDocument/2006/relationships/hyperlink" Target="https://es.wikipedia.org/wiki/Siglo_XIX" TargetMode="External"/><Relationship Id="rId44" Type="http://schemas.openxmlformats.org/officeDocument/2006/relationships/hyperlink" Target="https://es.wikipedia.org/wiki/Dmitri_Kabalevsk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isa_tridentina" TargetMode="External"/><Relationship Id="rId14" Type="http://schemas.openxmlformats.org/officeDocument/2006/relationships/hyperlink" Target="https://es.wikipedia.org/wiki/Canto_gregoriano" TargetMode="External"/><Relationship Id="rId22" Type="http://schemas.openxmlformats.org/officeDocument/2006/relationships/hyperlink" Target="https://es.wikipedia.org/wiki/A_cappella" TargetMode="External"/><Relationship Id="rId27" Type="http://schemas.openxmlformats.org/officeDocument/2006/relationships/hyperlink" Target="https://es.wikipedia.org/wiki/R%C3%A9quiem_%28Mozart%29" TargetMode="External"/><Relationship Id="rId30" Type="http://schemas.openxmlformats.org/officeDocument/2006/relationships/hyperlink" Target="https://es.wikipedia.org/wiki/Siglo_XIII" TargetMode="External"/><Relationship Id="rId35" Type="http://schemas.openxmlformats.org/officeDocument/2006/relationships/hyperlink" Target="https://es.wikipedia.org/w/index.php?title=Movimiento_ceciliano&amp;action=edit&amp;redlink=1" TargetMode="External"/><Relationship Id="rId43" Type="http://schemas.openxmlformats.org/officeDocument/2006/relationships/hyperlink" Target="https://es.wikipedia.org/wiki/Siglo_XX" TargetMode="External"/><Relationship Id="rId48" Type="http://schemas.openxmlformats.org/officeDocument/2006/relationships/hyperlink" Target="https://es.wikipedia.org/wiki/Funeral" TargetMode="External"/><Relationship Id="rId8" Type="http://schemas.openxmlformats.org/officeDocument/2006/relationships/hyperlink" Target="https://es.wikipedia.org/wiki/Agnus_De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2293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2016-11-13T06:43:00Z</cp:lastPrinted>
  <dcterms:created xsi:type="dcterms:W3CDTF">2016-11-28T07:22:00Z</dcterms:created>
  <dcterms:modified xsi:type="dcterms:W3CDTF">2016-11-28T07:22:00Z</dcterms:modified>
</cp:coreProperties>
</file>