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72" w:rsidRPr="006B2872" w:rsidRDefault="006B2872" w:rsidP="006B2872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B2872">
        <w:rPr>
          <w:rFonts w:ascii="Arial" w:hAnsi="Arial" w:cs="Arial"/>
          <w:b/>
          <w:color w:val="FF0000"/>
          <w:sz w:val="36"/>
          <w:szCs w:val="36"/>
        </w:rPr>
        <w:t xml:space="preserve">Verbum </w:t>
      </w:r>
      <w:proofErr w:type="spellStart"/>
      <w:r w:rsidRPr="006B2872">
        <w:rPr>
          <w:rFonts w:ascii="Arial" w:hAnsi="Arial" w:cs="Arial"/>
          <w:b/>
          <w:color w:val="FF0000"/>
          <w:sz w:val="36"/>
          <w:szCs w:val="36"/>
        </w:rPr>
        <w:t>Supernum</w:t>
      </w:r>
      <w:proofErr w:type="spellEnd"/>
      <w:r w:rsidRPr="006B287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proofErr w:type="spellStart"/>
      <w:r w:rsidRPr="006B2872">
        <w:rPr>
          <w:rFonts w:ascii="Arial" w:hAnsi="Arial" w:cs="Arial"/>
          <w:b/>
          <w:color w:val="FF0000"/>
          <w:sz w:val="36"/>
          <w:szCs w:val="36"/>
        </w:rPr>
        <w:t>Prodiens</w:t>
      </w:r>
      <w:proofErr w:type="spellEnd"/>
    </w:p>
    <w:p w:rsidR="006B2872" w:rsidRPr="006B2872" w:rsidRDefault="006B2872" w:rsidP="006B2872">
      <w:pPr>
        <w:pStyle w:val="NormalWeb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B2872">
        <w:rPr>
          <w:rFonts w:ascii="Arial" w:hAnsi="Arial" w:cs="Arial"/>
          <w:b/>
          <w:color w:val="0070C0"/>
          <w:sz w:val="28"/>
          <w:szCs w:val="28"/>
        </w:rPr>
        <w:t>El Verbo viene de lo alto</w:t>
      </w:r>
    </w:p>
    <w:p w:rsidR="006B2872" w:rsidRPr="006B2872" w:rsidRDefault="006B2872" w:rsidP="006B2872">
      <w:pPr>
        <w:pStyle w:val="NormalWeb"/>
        <w:jc w:val="both"/>
        <w:rPr>
          <w:rFonts w:ascii="Arial" w:hAnsi="Arial" w:cs="Arial"/>
          <w:b/>
        </w:rPr>
      </w:pPr>
      <w:r>
        <w:t xml:space="preserve">   </w:t>
      </w:r>
      <w:r w:rsidRPr="006B2872">
        <w:rPr>
          <w:rFonts w:ascii="Arial" w:hAnsi="Arial" w:cs="Arial"/>
          <w:b/>
        </w:rPr>
        <w:t xml:space="preserve">El </w:t>
      </w:r>
      <w:hyperlink r:id="rId6" w:tooltip="Himno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himno</w:t>
        </w:r>
      </w:hyperlink>
      <w:r w:rsidRPr="006B2872">
        <w:rPr>
          <w:rFonts w:ascii="Arial" w:hAnsi="Arial" w:cs="Arial"/>
          <w:b/>
        </w:rPr>
        <w:t xml:space="preserve"> </w:t>
      </w:r>
      <w:r w:rsidRPr="006B2872">
        <w:rPr>
          <w:rFonts w:ascii="Arial" w:hAnsi="Arial" w:cs="Arial"/>
          <w:b/>
          <w:bCs/>
          <w:i/>
          <w:iCs/>
        </w:rPr>
        <w:t xml:space="preserve">Verbum </w:t>
      </w:r>
      <w:proofErr w:type="spellStart"/>
      <w:r w:rsidRPr="006B2872">
        <w:rPr>
          <w:rFonts w:ascii="Arial" w:hAnsi="Arial" w:cs="Arial"/>
          <w:b/>
          <w:bCs/>
          <w:i/>
          <w:iCs/>
        </w:rPr>
        <w:t>Supernum</w:t>
      </w:r>
      <w:proofErr w:type="spellEnd"/>
      <w:r w:rsidRPr="006B287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B2872">
        <w:rPr>
          <w:rFonts w:ascii="Arial" w:hAnsi="Arial" w:cs="Arial"/>
          <w:b/>
          <w:bCs/>
          <w:i/>
          <w:iCs/>
        </w:rPr>
        <w:t>Prodiens</w:t>
      </w:r>
      <w:proofErr w:type="spellEnd"/>
      <w:r w:rsidRPr="006B2872">
        <w:rPr>
          <w:rFonts w:ascii="Arial" w:hAnsi="Arial" w:cs="Arial"/>
          <w:b/>
        </w:rPr>
        <w:t xml:space="preserve"> ("Verbo que baja de lo alto") es uno de los cinco </w:t>
      </w:r>
      <w:hyperlink r:id="rId7" w:tooltip="Himno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himnos</w:t>
        </w:r>
      </w:hyperlink>
      <w:r w:rsidRPr="006B2872">
        <w:rPr>
          <w:rFonts w:ascii="Arial" w:hAnsi="Arial" w:cs="Arial"/>
          <w:b/>
        </w:rPr>
        <w:t xml:space="preserve"> escritos por </w:t>
      </w:r>
      <w:hyperlink r:id="rId8" w:tooltip="Tomás de Aquino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Tomás de Aquino</w:t>
        </w:r>
      </w:hyperlink>
      <w:r w:rsidRPr="006B2872">
        <w:rPr>
          <w:rFonts w:ascii="Arial" w:hAnsi="Arial" w:cs="Arial"/>
          <w:b/>
        </w:rPr>
        <w:t xml:space="preserve"> a petición del </w:t>
      </w:r>
      <w:hyperlink r:id="rId9" w:tooltip="Pap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papa</w:t>
        </w:r>
      </w:hyperlink>
      <w:r w:rsidRPr="006B2872">
        <w:rPr>
          <w:rFonts w:ascii="Arial" w:hAnsi="Arial" w:cs="Arial"/>
          <w:b/>
        </w:rPr>
        <w:t xml:space="preserve"> </w:t>
      </w:r>
      <w:hyperlink r:id="rId10" w:tooltip="Urbano IV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Urbano IV</w:t>
        </w:r>
      </w:hyperlink>
      <w:r w:rsidRPr="006B2872">
        <w:rPr>
          <w:rFonts w:ascii="Arial" w:hAnsi="Arial" w:cs="Arial"/>
          <w:b/>
        </w:rPr>
        <w:t xml:space="preserve"> para la liturgia de la solemnidad de </w:t>
      </w:r>
      <w:hyperlink r:id="rId11" w:tooltip="Corpus Christi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Corpus Christi</w:t>
        </w:r>
      </w:hyperlink>
      <w:r w:rsidRPr="006B2872">
        <w:rPr>
          <w:rFonts w:ascii="Arial" w:hAnsi="Arial" w:cs="Arial"/>
          <w:b/>
        </w:rPr>
        <w:t xml:space="preserve">. El </w:t>
      </w:r>
      <w:proofErr w:type="spellStart"/>
      <w:r w:rsidRPr="006B2872">
        <w:rPr>
          <w:rFonts w:ascii="Arial" w:hAnsi="Arial" w:cs="Arial"/>
          <w:b/>
          <w:i/>
          <w:iCs/>
        </w:rPr>
        <w:t>Aquinate</w:t>
      </w:r>
      <w:proofErr w:type="spellEnd"/>
      <w:r w:rsidRPr="006B2872">
        <w:rPr>
          <w:rFonts w:ascii="Arial" w:hAnsi="Arial" w:cs="Arial"/>
          <w:b/>
        </w:rPr>
        <w:t xml:space="preserve"> compuso este himno para las </w:t>
      </w:r>
      <w:hyperlink r:id="rId12" w:tooltip="Laudes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laudes</w:t>
        </w:r>
      </w:hyperlink>
      <w:r w:rsidRPr="006B2872">
        <w:rPr>
          <w:rFonts w:ascii="Arial" w:hAnsi="Arial" w:cs="Arial"/>
          <w:b/>
        </w:rPr>
        <w:t xml:space="preserve"> de la fiesta e incluyó otras or</w:t>
      </w:r>
      <w:r w:rsidRPr="006B2872">
        <w:rPr>
          <w:rFonts w:ascii="Arial" w:hAnsi="Arial" w:cs="Arial"/>
          <w:b/>
        </w:rPr>
        <w:t>a</w:t>
      </w:r>
      <w:r w:rsidRPr="006B2872">
        <w:rPr>
          <w:rFonts w:ascii="Arial" w:hAnsi="Arial" w:cs="Arial"/>
          <w:b/>
        </w:rPr>
        <w:t xml:space="preserve">ciones para la </w:t>
      </w:r>
      <w:hyperlink r:id="rId13" w:tooltip="Mis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misa</w:t>
        </w:r>
      </w:hyperlink>
      <w:r w:rsidRPr="006B2872">
        <w:rPr>
          <w:rFonts w:ascii="Arial" w:hAnsi="Arial" w:cs="Arial"/>
          <w:b/>
        </w:rPr>
        <w:t xml:space="preserve"> y la </w:t>
      </w:r>
      <w:hyperlink r:id="rId14" w:tooltip="Liturgia de las Horas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Liturgia de las Horas</w:t>
        </w:r>
      </w:hyperlink>
      <w:r w:rsidRPr="006B2872">
        <w:rPr>
          <w:rFonts w:ascii="Arial" w:hAnsi="Arial" w:cs="Arial"/>
          <w:b/>
        </w:rPr>
        <w:t>.</w:t>
      </w:r>
    </w:p>
    <w:p w:rsidR="006B2872" w:rsidRPr="006B2872" w:rsidRDefault="006B2872" w:rsidP="006B2872">
      <w:pPr>
        <w:pStyle w:val="NormalWeb"/>
        <w:jc w:val="both"/>
        <w:rPr>
          <w:rFonts w:ascii="Arial" w:hAnsi="Arial" w:cs="Arial"/>
          <w:b/>
        </w:rPr>
      </w:pPr>
      <w:r w:rsidRPr="006B2872">
        <w:rPr>
          <w:rFonts w:ascii="Arial" w:hAnsi="Arial" w:cs="Arial"/>
          <w:b/>
        </w:rPr>
        <w:t xml:space="preserve">Tiene seis </w:t>
      </w:r>
      <w:hyperlink r:id="rId15" w:tooltip="Estrof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estrofas</w:t>
        </w:r>
      </w:hyperlink>
      <w:r w:rsidRPr="006B2872">
        <w:rPr>
          <w:rFonts w:ascii="Arial" w:hAnsi="Arial" w:cs="Arial"/>
          <w:b/>
        </w:rPr>
        <w:t xml:space="preserve">. La primera trata de la </w:t>
      </w:r>
      <w:hyperlink r:id="rId16" w:tooltip="Encarnación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Encarnación</w:t>
        </w:r>
      </w:hyperlink>
      <w:r w:rsidRPr="006B2872">
        <w:rPr>
          <w:rFonts w:ascii="Arial" w:hAnsi="Arial" w:cs="Arial"/>
          <w:b/>
        </w:rPr>
        <w:t xml:space="preserve"> de </w:t>
      </w:r>
      <w:hyperlink r:id="rId17" w:tooltip="Jesús de Nazaret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Jesucristo</w:t>
        </w:r>
      </w:hyperlink>
      <w:r w:rsidRPr="006B2872">
        <w:rPr>
          <w:rFonts w:ascii="Arial" w:hAnsi="Arial" w:cs="Arial"/>
          <w:b/>
        </w:rPr>
        <w:t>. En la segunda estr</w:t>
      </w:r>
      <w:r w:rsidRPr="006B2872">
        <w:rPr>
          <w:rFonts w:ascii="Arial" w:hAnsi="Arial" w:cs="Arial"/>
          <w:b/>
        </w:rPr>
        <w:t>o</w:t>
      </w:r>
      <w:r w:rsidRPr="006B2872">
        <w:rPr>
          <w:rFonts w:ascii="Arial" w:hAnsi="Arial" w:cs="Arial"/>
          <w:b/>
        </w:rPr>
        <w:t xml:space="preserve">fa se habla de </w:t>
      </w:r>
      <w:hyperlink r:id="rId18" w:tooltip="Judas Iscariote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Judas Iscariote</w:t>
        </w:r>
      </w:hyperlink>
      <w:r w:rsidRPr="006B2872">
        <w:rPr>
          <w:rFonts w:ascii="Arial" w:hAnsi="Arial" w:cs="Arial"/>
          <w:b/>
        </w:rPr>
        <w:t xml:space="preserve"> que lo traicionó y de cómo Él se entrega a la muerte por sus discípulos. La tercera recuerda </w:t>
      </w:r>
      <w:hyperlink r:id="rId19" w:tooltip="La Última Cen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La Última Cena</w:t>
        </w:r>
      </w:hyperlink>
      <w:r w:rsidRPr="006B2872">
        <w:rPr>
          <w:rFonts w:ascii="Arial" w:hAnsi="Arial" w:cs="Arial"/>
          <w:b/>
        </w:rPr>
        <w:t xml:space="preserve"> donde, según el </w:t>
      </w:r>
      <w:hyperlink r:id="rId20" w:tooltip="Evangelio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Evangelio</w:t>
        </w:r>
      </w:hyperlink>
      <w:r w:rsidRPr="006B2872">
        <w:rPr>
          <w:rFonts w:ascii="Arial" w:hAnsi="Arial" w:cs="Arial"/>
          <w:b/>
        </w:rPr>
        <w:t>, Jesús dio su cuerpo y su sangre como comida y bebida. En la cuarta recuerda diversos momentos de la vida de Jesús: el nac</w:t>
      </w:r>
      <w:r w:rsidRPr="006B2872">
        <w:rPr>
          <w:rFonts w:ascii="Arial" w:hAnsi="Arial" w:cs="Arial"/>
          <w:b/>
        </w:rPr>
        <w:t>i</w:t>
      </w:r>
      <w:r w:rsidRPr="006B2872">
        <w:rPr>
          <w:rFonts w:ascii="Arial" w:hAnsi="Arial" w:cs="Arial"/>
          <w:b/>
        </w:rPr>
        <w:t xml:space="preserve">miento, el cenáculo, la </w:t>
      </w:r>
      <w:hyperlink r:id="rId21" w:tooltip="Cruz cristian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cruz</w:t>
        </w:r>
      </w:hyperlink>
      <w:r w:rsidRPr="006B2872">
        <w:rPr>
          <w:rFonts w:ascii="Arial" w:hAnsi="Arial" w:cs="Arial"/>
          <w:b/>
        </w:rPr>
        <w:t xml:space="preserve"> y el </w:t>
      </w:r>
      <w:hyperlink r:id="rId22" w:tooltip="Paraíso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cielo</w:t>
        </w:r>
      </w:hyperlink>
      <w:r w:rsidRPr="006B2872">
        <w:rPr>
          <w:rFonts w:ascii="Arial" w:hAnsi="Arial" w:cs="Arial"/>
          <w:b/>
        </w:rPr>
        <w:t xml:space="preserve">. Las últimas dos estrofas (que comienzan por </w:t>
      </w:r>
      <w:r w:rsidRPr="006B2872">
        <w:rPr>
          <w:rFonts w:ascii="Arial" w:hAnsi="Arial" w:cs="Arial"/>
          <w:b/>
          <w:i/>
          <w:iCs/>
        </w:rPr>
        <w:t xml:space="preserve">O </w:t>
      </w:r>
      <w:proofErr w:type="spellStart"/>
      <w:r w:rsidRPr="006B2872">
        <w:rPr>
          <w:rFonts w:ascii="Arial" w:hAnsi="Arial" w:cs="Arial"/>
          <w:b/>
          <w:i/>
          <w:iCs/>
        </w:rPr>
        <w:t>Salutaris</w:t>
      </w:r>
      <w:proofErr w:type="spellEnd"/>
      <w:r w:rsidRPr="006B2872">
        <w:rPr>
          <w:rFonts w:ascii="Arial" w:hAnsi="Arial" w:cs="Arial"/>
          <w:b/>
          <w:i/>
          <w:iCs/>
        </w:rPr>
        <w:t xml:space="preserve"> Hostia</w:t>
      </w:r>
      <w:r w:rsidRPr="006B2872">
        <w:rPr>
          <w:rFonts w:ascii="Arial" w:hAnsi="Arial" w:cs="Arial"/>
          <w:b/>
        </w:rPr>
        <w:t xml:space="preserve">) son un canto de alabanza a la </w:t>
      </w:r>
      <w:hyperlink r:id="rId23" w:tooltip="Eucaristí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Eucaristía</w:t>
        </w:r>
      </w:hyperlink>
      <w:r w:rsidRPr="006B2872">
        <w:rPr>
          <w:rFonts w:ascii="Arial" w:hAnsi="Arial" w:cs="Arial"/>
          <w:b/>
        </w:rPr>
        <w:t xml:space="preserve"> y son usadas también como himno de </w:t>
      </w:r>
      <w:hyperlink r:id="rId24" w:tooltip="Adoración eucarístic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expos</w:t>
        </w:r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ción</w:t>
        </w:r>
      </w:hyperlink>
      <w:r w:rsidRPr="006B2872">
        <w:rPr>
          <w:rFonts w:ascii="Arial" w:hAnsi="Arial" w:cs="Arial"/>
          <w:b/>
        </w:rPr>
        <w:t xml:space="preserve"> tanto en la </w:t>
      </w:r>
      <w:hyperlink r:id="rId25" w:tooltip="Iglesia católic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6B2872">
        <w:rPr>
          <w:rFonts w:ascii="Arial" w:hAnsi="Arial" w:cs="Arial"/>
          <w:b/>
        </w:rPr>
        <w:t xml:space="preserve"> como en la </w:t>
      </w:r>
      <w:hyperlink r:id="rId26" w:tooltip="Iglesia anglicana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anglicana</w:t>
        </w:r>
      </w:hyperlink>
      <w:r w:rsidRPr="006B2872">
        <w:rPr>
          <w:rFonts w:ascii="Arial" w:hAnsi="Arial" w:cs="Arial"/>
          <w:b/>
        </w:rPr>
        <w:t xml:space="preserve">. La melodía fue tomada del himno </w:t>
      </w:r>
      <w:hyperlink r:id="rId27" w:tooltip="Aeterne Rex Altissime (aún no redactado)" w:history="1">
        <w:proofErr w:type="spellStart"/>
        <w:r w:rsidRPr="006B287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Aeterne</w:t>
        </w:r>
        <w:proofErr w:type="spellEnd"/>
        <w:r w:rsidRPr="006B287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6B287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Rex</w:t>
        </w:r>
        <w:proofErr w:type="spellEnd"/>
        <w:r w:rsidRPr="006B287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Pr="006B2872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Altissime</w:t>
        </w:r>
        <w:proofErr w:type="spellEnd"/>
      </w:hyperlink>
      <w:r w:rsidRPr="006B2872">
        <w:rPr>
          <w:rFonts w:ascii="Arial" w:hAnsi="Arial" w:cs="Arial"/>
          <w:b/>
        </w:rPr>
        <w:t xml:space="preserve"> de la misa de la </w:t>
      </w:r>
      <w:hyperlink r:id="rId28" w:tooltip="Ascensión de Jesucristo" w:history="1">
        <w:r w:rsidRPr="006B2872">
          <w:rPr>
            <w:rStyle w:val="Hipervnculo"/>
            <w:rFonts w:ascii="Arial" w:hAnsi="Arial" w:cs="Arial"/>
            <w:b/>
            <w:color w:val="auto"/>
            <w:u w:val="none"/>
          </w:rPr>
          <w:t>Ascensión</w:t>
        </w:r>
      </w:hyperlink>
      <w:r w:rsidRPr="006B2872">
        <w:rPr>
          <w:rFonts w:ascii="Arial" w:hAnsi="Arial" w:cs="Arial"/>
          <w:b/>
        </w:rPr>
        <w:t>.</w:t>
      </w:r>
    </w:p>
    <w:p w:rsidR="006B2872" w:rsidRPr="006B2872" w:rsidRDefault="006B2872" w:rsidP="006B2872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6B2872">
        <w:rPr>
          <w:rFonts w:ascii="Arial" w:hAnsi="Arial" w:cs="Arial"/>
          <w:b/>
          <w:sz w:val="22"/>
          <w:szCs w:val="22"/>
        </w:rPr>
        <w:t xml:space="preserve">Algunos estudiosos hacen notar la semejanza de la cuarta estrofa con un texto de san </w:t>
      </w:r>
      <w:hyperlink r:id="rId29" w:tooltip="Bernardo de Claraval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Bernardo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que hab</w:t>
      </w:r>
      <w:r w:rsidRPr="006B2872">
        <w:rPr>
          <w:rFonts w:ascii="Arial" w:hAnsi="Arial" w:cs="Arial"/>
          <w:b/>
          <w:sz w:val="22"/>
          <w:szCs w:val="22"/>
        </w:rPr>
        <w:t>r</w:t>
      </w:r>
      <w:r w:rsidRPr="006B2872">
        <w:rPr>
          <w:rFonts w:ascii="Arial" w:hAnsi="Arial" w:cs="Arial"/>
          <w:b/>
          <w:sz w:val="22"/>
          <w:szCs w:val="22"/>
        </w:rPr>
        <w:t>ía servido de inspiración al autor:</w:t>
      </w:r>
      <w:hyperlink r:id="rId30" w:anchor="cite_note-1" w:history="1">
        <w:r w:rsidRPr="006B2872">
          <w:rPr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vertAlign w:val="superscript"/>
          </w:rPr>
          <w:t>1</w:t>
        </w:r>
        <w:r w:rsidRPr="006B2872">
          <w:rPr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4"/>
        <w:gridCol w:w="6007"/>
      </w:tblGrid>
      <w:tr w:rsidR="006B2872" w:rsidRPr="006B2872" w:rsidTr="006B2872">
        <w:trPr>
          <w:tblCellSpacing w:w="15" w:type="dxa"/>
        </w:trPr>
        <w:tc>
          <w:tcPr>
            <w:tcW w:w="3969" w:type="dxa"/>
            <w:hideMark/>
          </w:tcPr>
          <w:p w:rsidR="006B2872" w:rsidRPr="006B2872" w:rsidRDefault="006B2872" w:rsidP="006B2872">
            <w:pPr>
              <w:pStyle w:val="NormalWeb"/>
              <w:ind w:left="851" w:right="-467" w:firstLine="14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Se nascens dedit socium,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br/>
              <w:t>convescens in edulium,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br/>
              <w:t>se moriens in pretium,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br/>
              <w:t>se regnans dat in præmium.</w:t>
            </w:r>
          </w:p>
        </w:tc>
        <w:tc>
          <w:tcPr>
            <w:tcW w:w="5962" w:type="dxa"/>
            <w:tcMar>
              <w:top w:w="15" w:type="dxa"/>
              <w:left w:w="240" w:type="dxa"/>
              <w:bottom w:w="15" w:type="dxa"/>
              <w:right w:w="15" w:type="dxa"/>
            </w:tcMar>
            <w:hideMark/>
          </w:tcPr>
          <w:p w:rsidR="006B2872" w:rsidRPr="006B2872" w:rsidRDefault="006B2872" w:rsidP="006B2872">
            <w:pPr>
              <w:pStyle w:val="NormalWeb"/>
              <w:ind w:left="851" w:right="-467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Fonts w:ascii="Arial" w:hAnsi="Arial" w:cs="Arial"/>
                <w:b/>
                <w:sz w:val="22"/>
                <w:szCs w:val="22"/>
                <w:lang w:val="en-US"/>
              </w:rPr>
              <w:t>Se dedit in meritum;</w:t>
            </w:r>
            <w:r w:rsidRPr="006B2872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  <w:t>se dedit in praemium;</w:t>
            </w:r>
            <w:r w:rsidRPr="006B2872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  <w:t>se apponit in refectione animarum sanctarum;</w:t>
            </w:r>
            <w:r w:rsidRPr="006B2872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  <w:t>se in redemptione distrahit captivarum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.</w:t>
            </w:r>
            <w:hyperlink r:id="rId31" w:anchor="cite_note-2" w:history="1">
              <w:r w:rsidRPr="006B2872">
                <w:rPr>
                  <w:rFonts w:ascii="Arial" w:hAnsi="Arial" w:cs="Arial"/>
                  <w:b/>
                  <w:i/>
                  <w:iCs/>
                  <w:color w:val="0000FF"/>
                  <w:sz w:val="22"/>
                  <w:szCs w:val="22"/>
                  <w:u w:val="single"/>
                  <w:vertAlign w:val="superscript"/>
                </w:rPr>
                <w:t>[</w:t>
              </w:r>
              <w:r w:rsidRPr="006B2872">
                <w:rPr>
                  <w:rStyle w:val="Hipervnculo"/>
                  <w:rFonts w:ascii="Arial" w:hAnsi="Arial" w:cs="Arial"/>
                  <w:b/>
                  <w:i/>
                  <w:iCs/>
                  <w:sz w:val="22"/>
                  <w:szCs w:val="22"/>
                  <w:vertAlign w:val="superscript"/>
                </w:rPr>
                <w:t>2</w:t>
              </w:r>
              <w:r w:rsidRPr="006B2872">
                <w:rPr>
                  <w:rFonts w:ascii="Arial" w:hAnsi="Arial" w:cs="Arial"/>
                  <w:b/>
                  <w:i/>
                  <w:iCs/>
                  <w:color w:val="0000FF"/>
                  <w:sz w:val="22"/>
                  <w:szCs w:val="22"/>
                  <w:u w:val="single"/>
                  <w:vertAlign w:val="superscript"/>
                </w:rPr>
                <w:t>]</w:t>
              </w:r>
            </w:hyperlink>
          </w:p>
        </w:tc>
      </w:tr>
    </w:tbl>
    <w:p w:rsidR="006B2872" w:rsidRPr="006B2872" w:rsidRDefault="006B2872" w:rsidP="006B2872">
      <w:pPr>
        <w:pStyle w:val="NormalWeb"/>
        <w:rPr>
          <w:rFonts w:ascii="Arial" w:hAnsi="Arial" w:cs="Arial"/>
          <w:b/>
          <w:sz w:val="22"/>
          <w:szCs w:val="22"/>
        </w:rPr>
      </w:pPr>
      <w:r w:rsidRPr="006B2872">
        <w:rPr>
          <w:rFonts w:ascii="Arial" w:hAnsi="Arial" w:cs="Arial"/>
          <w:b/>
          <w:sz w:val="22"/>
          <w:szCs w:val="22"/>
        </w:rPr>
        <w:t xml:space="preserve">    La segunda línea: "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Nec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Patris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linquens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dexteram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", la cual los revisores del </w:t>
      </w:r>
      <w:hyperlink r:id="rId32" w:tooltip="Papa Urbano VIII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papa Urbano VIII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dej</w:t>
      </w:r>
      <w:r w:rsidRPr="006B2872">
        <w:rPr>
          <w:rFonts w:ascii="Arial" w:hAnsi="Arial" w:cs="Arial"/>
          <w:b/>
          <w:sz w:val="22"/>
          <w:szCs w:val="22"/>
        </w:rPr>
        <w:t>a</w:t>
      </w:r>
      <w:r w:rsidRPr="006B2872">
        <w:rPr>
          <w:rFonts w:ascii="Arial" w:hAnsi="Arial" w:cs="Arial"/>
          <w:b/>
          <w:sz w:val="22"/>
          <w:szCs w:val="22"/>
        </w:rPr>
        <w:t>ron inta</w:t>
      </w:r>
      <w:r w:rsidRPr="006B2872">
        <w:rPr>
          <w:rFonts w:ascii="Arial" w:hAnsi="Arial" w:cs="Arial"/>
          <w:b/>
          <w:sz w:val="22"/>
          <w:szCs w:val="22"/>
        </w:rPr>
        <w:t>c</w:t>
      </w:r>
      <w:r w:rsidRPr="006B2872">
        <w:rPr>
          <w:rFonts w:ascii="Arial" w:hAnsi="Arial" w:cs="Arial"/>
          <w:b/>
          <w:sz w:val="22"/>
          <w:szCs w:val="22"/>
        </w:rPr>
        <w:t>ta y carece de prosodia clásica, está en ritmo acentual y rima alternativamente.</w:t>
      </w:r>
    </w:p>
    <w:p w:rsidR="006B2872" w:rsidRPr="006B2872" w:rsidRDefault="006B2872" w:rsidP="006B2872">
      <w:pPr>
        <w:pStyle w:val="NormalWeb"/>
        <w:rPr>
          <w:rFonts w:ascii="Arial" w:hAnsi="Arial" w:cs="Arial"/>
          <w:b/>
          <w:sz w:val="22"/>
          <w:szCs w:val="22"/>
        </w:rPr>
      </w:pPr>
      <w:r w:rsidRPr="006B2872">
        <w:rPr>
          <w:rFonts w:ascii="Arial" w:hAnsi="Arial" w:cs="Arial"/>
          <w:b/>
          <w:sz w:val="22"/>
          <w:szCs w:val="22"/>
        </w:rPr>
        <w:t xml:space="preserve">La autoría de santo Tomás de Aquino ha sido discutida. Su continuador y biógrafo </w:t>
      </w:r>
      <w:hyperlink r:id="rId33" w:tooltip="Tolomeo de Lucca (aún no redactado)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Tolomeo de Lucca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afi</w:t>
      </w:r>
      <w:r w:rsidRPr="006B2872">
        <w:rPr>
          <w:rFonts w:ascii="Arial" w:hAnsi="Arial" w:cs="Arial"/>
          <w:b/>
          <w:sz w:val="22"/>
          <w:szCs w:val="22"/>
        </w:rPr>
        <w:t>r</w:t>
      </w:r>
      <w:r w:rsidRPr="006B2872">
        <w:rPr>
          <w:rFonts w:ascii="Arial" w:hAnsi="Arial" w:cs="Arial"/>
          <w:b/>
          <w:sz w:val="22"/>
          <w:szCs w:val="22"/>
        </w:rPr>
        <w:t>ma: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3"/>
        <w:gridCol w:w="5323"/>
      </w:tblGrid>
      <w:tr w:rsidR="006B2872" w:rsidRPr="006B2872" w:rsidTr="006544BF">
        <w:trPr>
          <w:tblCellSpacing w:w="15" w:type="dxa"/>
        </w:trPr>
        <w:tc>
          <w:tcPr>
            <w:tcW w:w="0" w:type="auto"/>
            <w:hideMark/>
          </w:tcPr>
          <w:p w:rsidR="006B2872" w:rsidRPr="006B2872" w:rsidRDefault="006B2872" w:rsidP="006544BF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Officium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etiam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de corpore Christi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fecit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ex mand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to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Urbani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[...] Hoc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autem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fecit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complete et qua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tum ad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lectiones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et quantum ad totum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officium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tam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diurnum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quam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nocturnum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quam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etiam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ad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missam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et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quidquid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illa die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cantatur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; in qua hi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toria, si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attendimus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ad verba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scribentis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quasi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omnes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figurae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Veteris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Testamenti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in hoc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officio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videntur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contineri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luculento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et proprio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stylo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adaptata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ad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Eucharistiae</w:t>
            </w:r>
            <w:proofErr w:type="spellEnd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sacrame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</w:t>
            </w:r>
            <w:r w:rsidRPr="006B287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tum</w:t>
            </w:r>
            <w:proofErr w:type="spellEnd"/>
            <w:r w:rsidRPr="006B287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15" w:type="dxa"/>
              <w:left w:w="240" w:type="dxa"/>
              <w:bottom w:w="15" w:type="dxa"/>
              <w:right w:w="15" w:type="dxa"/>
            </w:tcMar>
            <w:hideMark/>
          </w:tcPr>
          <w:p w:rsidR="006B2872" w:rsidRPr="006B2872" w:rsidRDefault="006B2872" w:rsidP="006544BF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Fonts w:ascii="Arial" w:hAnsi="Arial" w:cs="Arial"/>
                <w:b/>
                <w:sz w:val="22"/>
                <w:szCs w:val="22"/>
              </w:rPr>
              <w:t>También elaboró el oficio de la (solemnidad) del Cuerpo de Cristo por mandato del (papa) Urbano [...] preparó toda la liturgia del día tanto las lecturas como el oficio completo diurno y nocturno, tanto la misa como todo lo que se canta ese día; en su preparación -si miramos el testimonio de los que escribían al dictado- casi todas las figuras del Antiguo Testamento par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t>cen estar usadas con estilo notable y apropi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t>do adaptadas al sacramento de la Eucaris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t>ía.</w:t>
            </w:r>
          </w:p>
        </w:tc>
      </w:tr>
    </w:tbl>
    <w:p w:rsidR="006B2872" w:rsidRPr="006B2872" w:rsidRDefault="006B2872" w:rsidP="006B2872">
      <w:pPr>
        <w:pStyle w:val="NormalWeb"/>
        <w:rPr>
          <w:rFonts w:ascii="Arial" w:hAnsi="Arial" w:cs="Arial"/>
          <w:b/>
          <w:sz w:val="22"/>
          <w:szCs w:val="22"/>
        </w:rPr>
      </w:pPr>
      <w:r w:rsidRPr="006B2872">
        <w:rPr>
          <w:rFonts w:ascii="Arial" w:hAnsi="Arial" w:cs="Arial"/>
          <w:b/>
          <w:sz w:val="22"/>
          <w:szCs w:val="22"/>
        </w:rPr>
        <w:t xml:space="preserve">    Sin embargo, autores como C. 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Lambot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, o L. 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Delaissé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 lo ponen en duda debido precisamente a que la adjud</w:t>
      </w:r>
      <w:r w:rsidRPr="006B2872">
        <w:rPr>
          <w:rFonts w:ascii="Arial" w:hAnsi="Arial" w:cs="Arial"/>
          <w:b/>
          <w:sz w:val="22"/>
          <w:szCs w:val="22"/>
        </w:rPr>
        <w:t>i</w:t>
      </w:r>
      <w:r w:rsidRPr="006B2872">
        <w:rPr>
          <w:rFonts w:ascii="Arial" w:hAnsi="Arial" w:cs="Arial"/>
          <w:b/>
          <w:sz w:val="22"/>
          <w:szCs w:val="22"/>
        </w:rPr>
        <w:t xml:space="preserve">cación se hizo ya muerto el </w:t>
      </w:r>
      <w:proofErr w:type="spellStart"/>
      <w:r w:rsidRPr="006B2872">
        <w:rPr>
          <w:rFonts w:ascii="Arial" w:hAnsi="Arial" w:cs="Arial"/>
          <w:b/>
          <w:i/>
          <w:iCs/>
          <w:sz w:val="22"/>
          <w:szCs w:val="22"/>
        </w:rPr>
        <w:t>Aquinate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>. Hay que esperar a un estudio histórico-crítico de Pierre Marie Gy p</w:t>
      </w:r>
      <w:r w:rsidRPr="006B2872">
        <w:rPr>
          <w:rFonts w:ascii="Arial" w:hAnsi="Arial" w:cs="Arial"/>
          <w:b/>
          <w:sz w:val="22"/>
          <w:szCs w:val="22"/>
        </w:rPr>
        <w:t>u</w:t>
      </w:r>
      <w:r w:rsidRPr="006B2872">
        <w:rPr>
          <w:rFonts w:ascii="Arial" w:hAnsi="Arial" w:cs="Arial"/>
          <w:b/>
          <w:sz w:val="22"/>
          <w:szCs w:val="22"/>
        </w:rPr>
        <w:t xml:space="preserve">blicado por primera vez en </w:t>
      </w:r>
      <w:hyperlink r:id="rId34" w:tooltip="1980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1980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en una revista y luego en </w:t>
      </w:r>
      <w:hyperlink r:id="rId35" w:tooltip="1990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1990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como libro</w:t>
      </w:r>
      <w:hyperlink r:id="rId36" w:anchor="cite_note-3" w:history="1">
        <w:r w:rsidRPr="006B2872">
          <w:rPr>
            <w:rFonts w:ascii="Arial" w:hAnsi="Arial" w:cs="Arial"/>
            <w:b/>
            <w:sz w:val="22"/>
            <w:szCs w:val="22"/>
            <w:vertAlign w:val="superscript"/>
          </w:rPr>
          <w:t>[</w:t>
        </w:r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vertAlign w:val="superscript"/>
          </w:rPr>
          <w:t>3</w:t>
        </w:r>
        <w:r w:rsidRPr="006B2872">
          <w:rPr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para una comprobación de tipo científico de la autoría.</w:t>
      </w:r>
    </w:p>
    <w:p w:rsidR="006B2872" w:rsidRPr="006B2872" w:rsidRDefault="006B2872" w:rsidP="006B2872">
      <w:pPr>
        <w:pStyle w:val="NormalWeb"/>
        <w:rPr>
          <w:rFonts w:ascii="Arial" w:hAnsi="Arial" w:cs="Arial"/>
          <w:b/>
          <w:sz w:val="22"/>
          <w:szCs w:val="22"/>
        </w:rPr>
      </w:pPr>
      <w:r w:rsidRPr="006B2872">
        <w:rPr>
          <w:rFonts w:ascii="Arial" w:hAnsi="Arial" w:cs="Arial"/>
          <w:b/>
          <w:sz w:val="22"/>
          <w:szCs w:val="22"/>
        </w:rPr>
        <w:t xml:space="preserve">Existían dos textos con algunas pequeñas variantes. Gy usó el que se encontraba en la biblioteca del papa </w:t>
      </w:r>
      <w:hyperlink r:id="rId37" w:tooltip="Bonifacio VIII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Bonifacio VIII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y fue este texto el que pasó a la edición crítica leonina. Estos estudios pe</w:t>
      </w:r>
      <w:r w:rsidRPr="006B2872">
        <w:rPr>
          <w:rFonts w:ascii="Arial" w:hAnsi="Arial" w:cs="Arial"/>
          <w:b/>
          <w:sz w:val="22"/>
          <w:szCs w:val="22"/>
        </w:rPr>
        <w:t>r</w:t>
      </w:r>
      <w:r w:rsidRPr="006B2872">
        <w:rPr>
          <w:rFonts w:ascii="Arial" w:hAnsi="Arial" w:cs="Arial"/>
          <w:b/>
          <w:sz w:val="22"/>
          <w:szCs w:val="22"/>
        </w:rPr>
        <w:t xml:space="preserve">mitieron llegar a la conclusión de que Tomás de Aquino elaboró una primera composición -llamada </w:t>
      </w:r>
      <w:proofErr w:type="spellStart"/>
      <w:r w:rsidRPr="006B2872">
        <w:rPr>
          <w:rFonts w:ascii="Arial" w:hAnsi="Arial" w:cs="Arial"/>
          <w:b/>
          <w:i/>
          <w:iCs/>
          <w:sz w:val="22"/>
          <w:szCs w:val="22"/>
        </w:rPr>
        <w:t>Sapientia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- que fue la que se usó en la fiesta del Cuerpo de Cristo en el año </w:t>
      </w:r>
      <w:hyperlink r:id="rId38" w:tooltip="1264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1264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. A continuación lo perfeccionó, llegando a la segunda versión que es conocida como </w:t>
      </w:r>
      <w:proofErr w:type="spellStart"/>
      <w:r w:rsidRPr="006B2872">
        <w:rPr>
          <w:rFonts w:ascii="Arial" w:hAnsi="Arial" w:cs="Arial"/>
          <w:b/>
          <w:i/>
          <w:iCs/>
          <w:sz w:val="22"/>
          <w:szCs w:val="22"/>
        </w:rPr>
        <w:t>Sacerdos</w:t>
      </w:r>
      <w:proofErr w:type="spellEnd"/>
      <w:r w:rsidRPr="006B2872">
        <w:rPr>
          <w:rFonts w:ascii="Arial" w:hAnsi="Arial" w:cs="Arial"/>
          <w:b/>
          <w:i/>
          <w:iCs/>
          <w:sz w:val="22"/>
          <w:szCs w:val="22"/>
        </w:rPr>
        <w:t xml:space="preserve"> in aeternum</w:t>
      </w:r>
      <w:r w:rsidRPr="006B2872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6B2872">
        <w:rPr>
          <w:rFonts w:ascii="Arial" w:hAnsi="Arial" w:cs="Arial"/>
          <w:b/>
          <w:sz w:val="22"/>
          <w:szCs w:val="22"/>
        </w:rPr>
        <w:t>trad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 xml:space="preserve">: "Sacerdote para la eternidad") y que fue promulgada como oficial por el papa Urbano IV a través de la </w:t>
      </w:r>
      <w:hyperlink r:id="rId39" w:tooltip="Bula" w:history="1">
        <w:r w:rsidRPr="006B2872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bula</w:t>
        </w:r>
      </w:hyperlink>
      <w:r w:rsidRPr="006B287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B2872">
        <w:rPr>
          <w:rFonts w:ascii="Arial" w:hAnsi="Arial" w:cs="Arial"/>
          <w:b/>
          <w:i/>
          <w:iCs/>
          <w:sz w:val="22"/>
          <w:szCs w:val="22"/>
        </w:rPr>
        <w:t>Transiturus</w:t>
      </w:r>
      <w:proofErr w:type="spellEnd"/>
      <w:r w:rsidRPr="006B2872">
        <w:rPr>
          <w:rFonts w:ascii="Arial" w:hAnsi="Arial" w:cs="Arial"/>
          <w:b/>
          <w:sz w:val="22"/>
          <w:szCs w:val="22"/>
        </w:rPr>
        <w:t>. Es probable que la divers</w:t>
      </w:r>
      <w:r w:rsidRPr="006B2872">
        <w:rPr>
          <w:rFonts w:ascii="Arial" w:hAnsi="Arial" w:cs="Arial"/>
          <w:b/>
          <w:sz w:val="22"/>
          <w:szCs w:val="22"/>
        </w:rPr>
        <w:t>i</w:t>
      </w:r>
      <w:r w:rsidRPr="006B2872">
        <w:rPr>
          <w:rFonts w:ascii="Arial" w:hAnsi="Arial" w:cs="Arial"/>
          <w:b/>
          <w:sz w:val="22"/>
          <w:szCs w:val="22"/>
        </w:rPr>
        <w:t>dad de versiones que han llegado a nuestros días se deba a la diferencia entre estos dos textos.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0"/>
        <w:gridCol w:w="4536"/>
      </w:tblGrid>
      <w:tr w:rsidR="006B2872" w:rsidTr="006B2872">
        <w:trPr>
          <w:tblCellSpacing w:w="15" w:type="dxa"/>
        </w:trPr>
        <w:tc>
          <w:tcPr>
            <w:tcW w:w="5245" w:type="dxa"/>
            <w:vAlign w:val="center"/>
            <w:hideMark/>
          </w:tcPr>
          <w:p w:rsidR="006B2872" w:rsidRDefault="006B2872" w:rsidP="006B2872">
            <w:pPr>
              <w:ind w:left="1276" w:hanging="12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Latín</w:t>
            </w:r>
          </w:p>
        </w:tc>
        <w:tc>
          <w:tcPr>
            <w:tcW w:w="4491" w:type="dxa"/>
            <w:vAlign w:val="center"/>
            <w:hideMark/>
          </w:tcPr>
          <w:p w:rsidR="006B2872" w:rsidRDefault="006B2872" w:rsidP="006B2872">
            <w:pPr>
              <w:ind w:left="1276" w:hanging="127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Castellano</w:t>
            </w:r>
          </w:p>
          <w:p w:rsidR="006B2872" w:rsidRDefault="006B2872" w:rsidP="006B2872">
            <w:pPr>
              <w:ind w:left="1276" w:hanging="1276"/>
              <w:jc w:val="center"/>
              <w:rPr>
                <w:b/>
                <w:bCs/>
              </w:rPr>
            </w:pPr>
          </w:p>
        </w:tc>
      </w:tr>
      <w:tr w:rsidR="006B2872" w:rsidTr="006B2872">
        <w:trPr>
          <w:trHeight w:val="8406"/>
          <w:tblCellSpacing w:w="15" w:type="dxa"/>
        </w:trPr>
        <w:tc>
          <w:tcPr>
            <w:tcW w:w="5245" w:type="dxa"/>
            <w:vAlign w:val="center"/>
            <w:hideMark/>
          </w:tcPr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  <w:rPr>
                <w:rStyle w:val="mw-poem-indented"/>
                <w:b/>
                <w:lang w:val="en-US"/>
              </w:rPr>
            </w:pPr>
            <w:r>
              <w:rPr>
                <w:rStyle w:val="mw-poem-indented"/>
                <w:lang w:val="en-US"/>
              </w:rPr>
              <w:t xml:space="preserve">                     </w:t>
            </w:r>
            <w:r w:rsidRPr="006B2872">
              <w:rPr>
                <w:rStyle w:val="mw-poem-indented"/>
                <w:b/>
                <w:lang w:val="en-US"/>
              </w:rPr>
              <w:t>Verbum supernum prodiens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Nec Patris linquens dexteram,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Ad opus suum exiens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Venit ad vitae vesperam.</w:t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  <w:rPr>
                <w:rStyle w:val="mw-poem-indented"/>
                <w:b/>
                <w:lang w:val="en-US"/>
              </w:rPr>
            </w:pP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  <w:rPr>
                <w:rStyle w:val="mw-poem-indented"/>
                <w:b/>
              </w:rPr>
            </w:pPr>
            <w:r w:rsidRPr="006B2872">
              <w:rPr>
                <w:rStyle w:val="mw-poem-indented"/>
                <w:b/>
              </w:rPr>
              <w:t xml:space="preserve">                      In mortem a </w:t>
            </w:r>
            <w:proofErr w:type="spellStart"/>
            <w:r w:rsidRPr="006B2872">
              <w:rPr>
                <w:rStyle w:val="mw-poem-indented"/>
                <w:b/>
              </w:rPr>
              <w:t>discipulo</w:t>
            </w:r>
            <w:proofErr w:type="spellEnd"/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Suis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tradendus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æmulis</w:t>
            </w:r>
            <w:proofErr w:type="spellEnd"/>
            <w:r w:rsidRPr="006B2872">
              <w:rPr>
                <w:rStyle w:val="mw-poem-indented"/>
                <w:b/>
              </w:rPr>
              <w:t>,</w:t>
            </w:r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Prius</w:t>
            </w:r>
            <w:proofErr w:type="spellEnd"/>
            <w:r w:rsidRPr="006B2872">
              <w:rPr>
                <w:rStyle w:val="mw-poem-indented"/>
                <w:b/>
              </w:rPr>
              <w:t xml:space="preserve"> in </w:t>
            </w:r>
            <w:proofErr w:type="spellStart"/>
            <w:r w:rsidRPr="006B2872">
              <w:rPr>
                <w:rStyle w:val="mw-poem-indented"/>
                <w:b/>
              </w:rPr>
              <w:t>vitæ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ferculo</w:t>
            </w:r>
            <w:proofErr w:type="spellEnd"/>
            <w:r w:rsidRPr="006B2872">
              <w:rPr>
                <w:b/>
              </w:rPr>
              <w:br/>
            </w:r>
            <w:r w:rsidRPr="006B2872">
              <w:rPr>
                <w:rStyle w:val="mw-poem-indented"/>
                <w:b/>
              </w:rPr>
              <w:t xml:space="preserve">Se </w:t>
            </w:r>
            <w:proofErr w:type="spellStart"/>
            <w:r w:rsidRPr="006B2872">
              <w:rPr>
                <w:rStyle w:val="mw-poem-indented"/>
                <w:b/>
              </w:rPr>
              <w:t>tradidit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discipulis</w:t>
            </w:r>
            <w:proofErr w:type="spellEnd"/>
            <w:r w:rsidRPr="006B2872">
              <w:rPr>
                <w:rStyle w:val="mw-poem-indented"/>
                <w:b/>
              </w:rPr>
              <w:t>.</w:t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  <w:rPr>
                <w:rStyle w:val="mw-poem-indented"/>
                <w:b/>
                <w:lang w:val="en-US"/>
              </w:rPr>
            </w:pPr>
            <w:r w:rsidRPr="006B2872">
              <w:rPr>
                <w:b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Quibus sub bina specie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Carnem dedit et sanguinem;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Ut duplicis substantiæ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Totum cibaret hominem.</w:t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  <w:rPr>
                <w:rStyle w:val="mw-poem-indented"/>
                <w:b/>
                <w:lang w:val="en-US"/>
              </w:rPr>
            </w:pP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Se nascens dedit socium,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Convescens in edulium,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Se moriens in pretium,</w:t>
            </w: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  <w:lang w:val="en-US"/>
              </w:rPr>
              <w:t>Se regnans dat in præmium.</w:t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  <w:rPr>
                <w:rStyle w:val="mw-poem-indented"/>
                <w:b/>
              </w:rPr>
            </w:pPr>
            <w:r w:rsidRPr="006B2872">
              <w:rPr>
                <w:b/>
                <w:lang w:val="en-US"/>
              </w:rPr>
              <w:br/>
            </w:r>
            <w:r w:rsidRPr="006B2872">
              <w:rPr>
                <w:rStyle w:val="mw-poem-indented"/>
                <w:b/>
              </w:rPr>
              <w:t xml:space="preserve">O </w:t>
            </w:r>
            <w:proofErr w:type="spellStart"/>
            <w:r w:rsidRPr="006B2872">
              <w:rPr>
                <w:rStyle w:val="mw-poem-indented"/>
                <w:b/>
              </w:rPr>
              <w:t>salutaris</w:t>
            </w:r>
            <w:proofErr w:type="spellEnd"/>
            <w:r w:rsidRPr="006B2872">
              <w:rPr>
                <w:rStyle w:val="mw-poem-indented"/>
                <w:b/>
              </w:rPr>
              <w:t xml:space="preserve"> hostia,</w:t>
            </w:r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Quæ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cæli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pandis</w:t>
            </w:r>
            <w:proofErr w:type="spellEnd"/>
            <w:r w:rsidRPr="006B2872">
              <w:rPr>
                <w:rStyle w:val="mw-poem-indented"/>
                <w:b/>
              </w:rPr>
              <w:t xml:space="preserve"> ostium,</w:t>
            </w:r>
            <w:r w:rsidRPr="006B2872">
              <w:rPr>
                <w:b/>
              </w:rPr>
              <w:br/>
            </w:r>
            <w:r w:rsidRPr="006B2872">
              <w:rPr>
                <w:rStyle w:val="mw-poem-indented"/>
                <w:b/>
              </w:rPr>
              <w:t xml:space="preserve">Bella </w:t>
            </w:r>
            <w:proofErr w:type="spellStart"/>
            <w:r w:rsidRPr="006B2872">
              <w:rPr>
                <w:rStyle w:val="mw-poem-indented"/>
                <w:b/>
              </w:rPr>
              <w:t>premunt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hostilia</w:t>
            </w:r>
            <w:proofErr w:type="spellEnd"/>
            <w:r w:rsidRPr="006B2872">
              <w:rPr>
                <w:rStyle w:val="mw-poem-indented"/>
                <w:b/>
              </w:rPr>
              <w:t>;</w:t>
            </w:r>
            <w:r w:rsidRPr="006B2872">
              <w:rPr>
                <w:b/>
              </w:rPr>
              <w:br/>
            </w:r>
            <w:r w:rsidRPr="006B2872">
              <w:rPr>
                <w:rStyle w:val="mw-poem-indented"/>
                <w:b/>
              </w:rPr>
              <w:t xml:space="preserve">Da </w:t>
            </w:r>
            <w:proofErr w:type="spellStart"/>
            <w:r w:rsidRPr="006B2872">
              <w:rPr>
                <w:rStyle w:val="mw-poem-indented"/>
                <w:b/>
              </w:rPr>
              <w:t>robur</w:t>
            </w:r>
            <w:proofErr w:type="spellEnd"/>
            <w:r w:rsidRPr="006B2872">
              <w:rPr>
                <w:rStyle w:val="mw-poem-indented"/>
                <w:b/>
              </w:rPr>
              <w:t xml:space="preserve">, </w:t>
            </w:r>
            <w:proofErr w:type="spellStart"/>
            <w:r w:rsidRPr="006B2872">
              <w:rPr>
                <w:rStyle w:val="mw-poem-indented"/>
                <w:b/>
              </w:rPr>
              <w:t>fer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auxilium</w:t>
            </w:r>
            <w:proofErr w:type="spellEnd"/>
            <w:r w:rsidRPr="006B2872">
              <w:rPr>
                <w:rStyle w:val="mw-poem-indented"/>
                <w:b/>
              </w:rPr>
              <w:t>.</w:t>
            </w:r>
          </w:p>
          <w:p w:rsidR="006B2872" w:rsidRDefault="006B2872" w:rsidP="006B2872">
            <w:pPr>
              <w:pStyle w:val="NormalWeb"/>
              <w:spacing w:before="0" w:beforeAutospacing="0" w:after="0" w:afterAutospacing="0"/>
              <w:ind w:left="1276" w:hanging="1276"/>
            </w:pPr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Uni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trinoque</w:t>
            </w:r>
            <w:proofErr w:type="spellEnd"/>
            <w:r w:rsidRPr="006B2872">
              <w:rPr>
                <w:rStyle w:val="mw-poem-indented"/>
                <w:b/>
              </w:rPr>
              <w:t xml:space="preserve"> Domino</w:t>
            </w:r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Sit</w:t>
            </w:r>
            <w:proofErr w:type="spellEnd"/>
            <w:r w:rsidRPr="006B2872">
              <w:rPr>
                <w:rStyle w:val="mw-poem-indented"/>
                <w:b/>
              </w:rPr>
              <w:t xml:space="preserve"> sempiterna gloria:</w:t>
            </w:r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Qui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vitam</w:t>
            </w:r>
            <w:proofErr w:type="spellEnd"/>
            <w:r w:rsidRPr="006B2872">
              <w:rPr>
                <w:rStyle w:val="mw-poem-indented"/>
                <w:b/>
              </w:rPr>
              <w:t xml:space="preserve"> sine termino</w:t>
            </w:r>
            <w:r w:rsidRPr="006B2872">
              <w:rPr>
                <w:b/>
              </w:rPr>
              <w:br/>
            </w:r>
            <w:proofErr w:type="spellStart"/>
            <w:r w:rsidRPr="006B2872">
              <w:rPr>
                <w:rStyle w:val="mw-poem-indented"/>
                <w:b/>
              </w:rPr>
              <w:t>Nobis</w:t>
            </w:r>
            <w:proofErr w:type="spellEnd"/>
            <w:r w:rsidRPr="006B2872">
              <w:rPr>
                <w:rStyle w:val="mw-poem-indented"/>
                <w:b/>
              </w:rPr>
              <w:t xml:space="preserve"> </w:t>
            </w:r>
            <w:proofErr w:type="spellStart"/>
            <w:r w:rsidRPr="006B2872">
              <w:rPr>
                <w:rStyle w:val="mw-poem-indented"/>
                <w:b/>
              </w:rPr>
              <w:t>donet</w:t>
            </w:r>
            <w:proofErr w:type="spellEnd"/>
            <w:r w:rsidRPr="006B2872">
              <w:rPr>
                <w:rStyle w:val="mw-poem-indented"/>
                <w:b/>
              </w:rPr>
              <w:t xml:space="preserve"> in patria.  </w:t>
            </w:r>
            <w:proofErr w:type="spellStart"/>
            <w:r w:rsidRPr="006B2872">
              <w:rPr>
                <w:rStyle w:val="mw-poem-indented"/>
                <w:b/>
              </w:rPr>
              <w:t>Amen</w:t>
            </w:r>
            <w:proofErr w:type="spellEnd"/>
            <w:r>
              <w:rPr>
                <w:rStyle w:val="mw-poem-indented"/>
              </w:rPr>
              <w:t>.</w:t>
            </w:r>
          </w:p>
        </w:tc>
        <w:tc>
          <w:tcPr>
            <w:tcW w:w="4491" w:type="dxa"/>
            <w:vAlign w:val="center"/>
            <w:hideMark/>
          </w:tcPr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679" w:firstLine="112"/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El Verbo que viene desde lo a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l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to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y que no abandona la derecha del Padre,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que sale a (realizar) su obra,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ha venido al atardecer de la vida.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679" w:firstLine="112"/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Quien por su discípulo a la muerte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sería entregado a sus enemigos.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Antes como comida de vida,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se entregó a los discípulos.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679" w:firstLine="112"/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 ellos, bajo doble especie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dio (su) carne y sangre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para que en esta doble sustancia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se alimentara todo el hombre.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679" w:firstLine="112"/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Al nacer se entregó como comp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ñero,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al comer (se entregó) como alime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n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to;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al morir (se entregó) cual precio;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B2872" w:rsidRPr="006B2872" w:rsidRDefault="006B2872" w:rsidP="006B2872">
            <w:pPr>
              <w:pStyle w:val="NormalWeb"/>
              <w:spacing w:before="0" w:beforeAutospacing="0" w:after="0" w:afterAutospacing="0"/>
              <w:ind w:left="679" w:firstLine="112"/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</w:pP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Oh, salvadora hostia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que abres la puerta del cielo,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Guerras implacables (nos) opr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i</w:t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men: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da(nos) fuerza, danos auxilio.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6B2872" w:rsidRDefault="006B2872" w:rsidP="006B2872">
            <w:pPr>
              <w:pStyle w:val="NormalWeb"/>
              <w:spacing w:before="0" w:beforeAutospacing="0" w:after="0" w:afterAutospacing="0"/>
              <w:ind w:left="679" w:firstLine="112"/>
            </w:pP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Al Señor Uno y Trino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sea gloria eterna.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Que una vida sin término</w:t>
            </w:r>
            <w:r w:rsidRPr="006B2872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B2872">
              <w:rPr>
                <w:rStyle w:val="mw-poem-indented"/>
                <w:rFonts w:ascii="Arial" w:hAnsi="Arial" w:cs="Arial"/>
                <w:b/>
                <w:sz w:val="22"/>
                <w:szCs w:val="22"/>
              </w:rPr>
              <w:t>nos regale en la patria.  Amén</w:t>
            </w:r>
          </w:p>
        </w:tc>
      </w:tr>
    </w:tbl>
    <w:p w:rsidR="006B2872" w:rsidRPr="006B2872" w:rsidRDefault="006B2872" w:rsidP="006B2872">
      <w:pPr>
        <w:pStyle w:val="Ttulo2"/>
        <w:rPr>
          <w:sz w:val="22"/>
          <w:szCs w:val="22"/>
        </w:rPr>
      </w:pPr>
    </w:p>
    <w:p w:rsidR="006B2872" w:rsidRDefault="006B2872" w:rsidP="006B2872">
      <w:pPr>
        <w:widowControl/>
        <w:autoSpaceDE/>
        <w:autoSpaceDN/>
        <w:adjustRightInd/>
        <w:spacing w:before="100" w:beforeAutospacing="1" w:after="100" w:afterAutospacing="1"/>
        <w:ind w:left="720"/>
      </w:pPr>
      <w:r>
        <w:rPr>
          <w:rStyle w:val="reference-text"/>
          <w:b/>
          <w:sz w:val="22"/>
          <w:szCs w:val="22"/>
        </w:rPr>
        <w:t xml:space="preserve">    </w:t>
      </w:r>
      <w:r w:rsidRPr="006B2872">
        <w:rPr>
          <w:rStyle w:val="reference-text"/>
          <w:b/>
          <w:sz w:val="22"/>
          <w:szCs w:val="22"/>
        </w:rPr>
        <w:t xml:space="preserve">A partir del estudio realizado por </w:t>
      </w:r>
      <w:proofErr w:type="spellStart"/>
      <w:r w:rsidRPr="006B2872">
        <w:rPr>
          <w:rStyle w:val="reference-text"/>
          <w:b/>
          <w:sz w:val="22"/>
          <w:szCs w:val="22"/>
        </w:rPr>
        <w:t>Dom</w:t>
      </w:r>
      <w:proofErr w:type="spellEnd"/>
      <w:r w:rsidRPr="006B2872">
        <w:rPr>
          <w:rStyle w:val="reference-text"/>
          <w:b/>
          <w:sz w:val="22"/>
          <w:szCs w:val="22"/>
        </w:rPr>
        <w:t xml:space="preserve"> G. </w:t>
      </w:r>
      <w:proofErr w:type="spellStart"/>
      <w:r w:rsidRPr="006B2872">
        <w:rPr>
          <w:rStyle w:val="reference-text"/>
          <w:b/>
          <w:sz w:val="22"/>
          <w:szCs w:val="22"/>
        </w:rPr>
        <w:t>Morin</w:t>
      </w:r>
      <w:proofErr w:type="spellEnd"/>
      <w:r w:rsidRPr="006B2872">
        <w:rPr>
          <w:rStyle w:val="reference-text"/>
          <w:b/>
          <w:sz w:val="22"/>
          <w:szCs w:val="22"/>
        </w:rPr>
        <w:t xml:space="preserve">, </w:t>
      </w:r>
      <w:proofErr w:type="spellStart"/>
      <w:r w:rsidRPr="006B2872">
        <w:rPr>
          <w:rStyle w:val="reference-text"/>
          <w:b/>
          <w:i/>
          <w:iCs/>
          <w:sz w:val="22"/>
          <w:szCs w:val="22"/>
        </w:rPr>
        <w:t>Revue</w:t>
      </w:r>
      <w:proofErr w:type="spellEnd"/>
      <w:r w:rsidRPr="006B2872">
        <w:rPr>
          <w:rStyle w:val="reference-text"/>
          <w:b/>
          <w:i/>
          <w:iCs/>
          <w:sz w:val="22"/>
          <w:szCs w:val="22"/>
        </w:rPr>
        <w:t xml:space="preserve"> </w:t>
      </w:r>
      <w:proofErr w:type="spellStart"/>
      <w:r w:rsidRPr="006B2872">
        <w:rPr>
          <w:rStyle w:val="reference-text"/>
          <w:b/>
          <w:i/>
          <w:iCs/>
          <w:sz w:val="22"/>
          <w:szCs w:val="22"/>
        </w:rPr>
        <w:t>bénédictine</w:t>
      </w:r>
      <w:proofErr w:type="spellEnd"/>
      <w:r w:rsidRPr="006B2872">
        <w:rPr>
          <w:rStyle w:val="reference-text"/>
          <w:b/>
          <w:sz w:val="22"/>
          <w:szCs w:val="22"/>
        </w:rPr>
        <w:t xml:space="preserve"> (1910), págs. 236-246.</w:t>
      </w:r>
      <w:r w:rsidRPr="006B2872">
        <w:rPr>
          <w:b/>
          <w:sz w:val="22"/>
          <w:szCs w:val="22"/>
        </w:rPr>
        <w:t xml:space="preserve"> </w:t>
      </w:r>
      <w:r w:rsidRPr="006B2872">
        <w:rPr>
          <w:rStyle w:val="reference-text"/>
          <w:b/>
          <w:sz w:val="22"/>
          <w:szCs w:val="22"/>
        </w:rPr>
        <w:t>El texto de la izquierda es el de Santo Tomás: "Al nacer se entregó como compañero, al c</w:t>
      </w:r>
      <w:r w:rsidRPr="006B2872">
        <w:rPr>
          <w:rStyle w:val="reference-text"/>
          <w:b/>
          <w:sz w:val="22"/>
          <w:szCs w:val="22"/>
        </w:rPr>
        <w:t>o</w:t>
      </w:r>
      <w:r w:rsidRPr="006B2872">
        <w:rPr>
          <w:rStyle w:val="reference-text"/>
          <w:b/>
          <w:sz w:val="22"/>
          <w:szCs w:val="22"/>
        </w:rPr>
        <w:t>mer (se entregó) como alimento; al morir (se entregó) cual precio; al reinar se da como pr</w:t>
      </w:r>
      <w:r w:rsidRPr="006B2872">
        <w:rPr>
          <w:rStyle w:val="reference-text"/>
          <w:b/>
          <w:sz w:val="22"/>
          <w:szCs w:val="22"/>
        </w:rPr>
        <w:t>e</w:t>
      </w:r>
      <w:r w:rsidRPr="006B2872">
        <w:rPr>
          <w:rStyle w:val="reference-text"/>
          <w:b/>
          <w:sz w:val="22"/>
          <w:szCs w:val="22"/>
        </w:rPr>
        <w:t xml:space="preserve">mio. El texto de la derecha es el de san Bernardo de su obra </w:t>
      </w:r>
      <w:r w:rsidRPr="006B2872">
        <w:rPr>
          <w:rStyle w:val="reference-text"/>
          <w:b/>
          <w:i/>
          <w:iCs/>
          <w:sz w:val="22"/>
          <w:szCs w:val="22"/>
        </w:rPr>
        <w:t xml:space="preserve">De </w:t>
      </w:r>
      <w:proofErr w:type="spellStart"/>
      <w:r w:rsidRPr="006B2872">
        <w:rPr>
          <w:rStyle w:val="reference-text"/>
          <w:b/>
          <w:i/>
          <w:iCs/>
          <w:sz w:val="22"/>
          <w:szCs w:val="22"/>
        </w:rPr>
        <w:t>diligendo</w:t>
      </w:r>
      <w:proofErr w:type="spellEnd"/>
      <w:r w:rsidRPr="006B2872">
        <w:rPr>
          <w:rStyle w:val="reference-text"/>
          <w:b/>
          <w:i/>
          <w:iCs/>
          <w:sz w:val="22"/>
          <w:szCs w:val="22"/>
        </w:rPr>
        <w:t xml:space="preserve"> Deo</w:t>
      </w:r>
      <w:r w:rsidRPr="006B2872">
        <w:rPr>
          <w:rStyle w:val="reference-text"/>
          <w:b/>
          <w:sz w:val="22"/>
          <w:szCs w:val="22"/>
        </w:rPr>
        <w:t>; he aquí la traducción: "Se dio como mérito, se dio como premio, se puso como comida de las almas santas; se laceró para la redención de los cautivos</w:t>
      </w:r>
      <w:r>
        <w:rPr>
          <w:rStyle w:val="reference-text"/>
        </w:rPr>
        <w:t>".</w:t>
      </w:r>
    </w:p>
    <w:p w:rsidR="00D40F8D" w:rsidRPr="008E75C0" w:rsidRDefault="00D40F8D" w:rsidP="008E75C0"/>
    <w:sectPr w:rsidR="00D40F8D" w:rsidRPr="008E75C0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F5771D"/>
    <w:multiLevelType w:val="multilevel"/>
    <w:tmpl w:val="DA0C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2B645B"/>
    <w:multiLevelType w:val="multilevel"/>
    <w:tmpl w:val="98B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8"/>
  </w:num>
  <w:num w:numId="3">
    <w:abstractNumId w:val="23"/>
  </w:num>
  <w:num w:numId="4">
    <w:abstractNumId w:val="18"/>
  </w:num>
  <w:num w:numId="5">
    <w:abstractNumId w:val="15"/>
  </w:num>
  <w:num w:numId="6">
    <w:abstractNumId w:val="34"/>
  </w:num>
  <w:num w:numId="7">
    <w:abstractNumId w:val="24"/>
  </w:num>
  <w:num w:numId="8">
    <w:abstractNumId w:val="6"/>
  </w:num>
  <w:num w:numId="9">
    <w:abstractNumId w:val="13"/>
  </w:num>
  <w:num w:numId="10">
    <w:abstractNumId w:val="8"/>
  </w:num>
  <w:num w:numId="11">
    <w:abstractNumId w:val="38"/>
  </w:num>
  <w:num w:numId="12">
    <w:abstractNumId w:val="2"/>
  </w:num>
  <w:num w:numId="13">
    <w:abstractNumId w:val="43"/>
  </w:num>
  <w:num w:numId="14">
    <w:abstractNumId w:val="46"/>
  </w:num>
  <w:num w:numId="15">
    <w:abstractNumId w:val="35"/>
  </w:num>
  <w:num w:numId="16">
    <w:abstractNumId w:val="9"/>
  </w:num>
  <w:num w:numId="17">
    <w:abstractNumId w:val="22"/>
  </w:num>
  <w:num w:numId="18">
    <w:abstractNumId w:val="44"/>
  </w:num>
  <w:num w:numId="19">
    <w:abstractNumId w:val="17"/>
  </w:num>
  <w:num w:numId="20">
    <w:abstractNumId w:val="14"/>
  </w:num>
  <w:num w:numId="21">
    <w:abstractNumId w:val="11"/>
  </w:num>
  <w:num w:numId="22">
    <w:abstractNumId w:val="29"/>
  </w:num>
  <w:num w:numId="23">
    <w:abstractNumId w:val="37"/>
  </w:num>
  <w:num w:numId="24">
    <w:abstractNumId w:val="12"/>
  </w:num>
  <w:num w:numId="25">
    <w:abstractNumId w:val="21"/>
  </w:num>
  <w:num w:numId="26">
    <w:abstractNumId w:val="27"/>
  </w:num>
  <w:num w:numId="27">
    <w:abstractNumId w:val="5"/>
  </w:num>
  <w:num w:numId="28">
    <w:abstractNumId w:val="28"/>
  </w:num>
  <w:num w:numId="29">
    <w:abstractNumId w:val="16"/>
  </w:num>
  <w:num w:numId="30">
    <w:abstractNumId w:val="26"/>
  </w:num>
  <w:num w:numId="31">
    <w:abstractNumId w:val="42"/>
  </w:num>
  <w:num w:numId="32">
    <w:abstractNumId w:val="3"/>
  </w:num>
  <w:num w:numId="33">
    <w:abstractNumId w:val="31"/>
  </w:num>
  <w:num w:numId="34">
    <w:abstractNumId w:val="7"/>
  </w:num>
  <w:num w:numId="35">
    <w:abstractNumId w:val="36"/>
  </w:num>
  <w:num w:numId="36">
    <w:abstractNumId w:val="4"/>
  </w:num>
  <w:num w:numId="37">
    <w:abstractNumId w:val="0"/>
  </w:num>
  <w:num w:numId="38">
    <w:abstractNumId w:val="39"/>
  </w:num>
  <w:num w:numId="39">
    <w:abstractNumId w:val="1"/>
  </w:num>
  <w:num w:numId="40">
    <w:abstractNumId w:val="32"/>
  </w:num>
  <w:num w:numId="41">
    <w:abstractNumId w:val="47"/>
  </w:num>
  <w:num w:numId="42">
    <w:abstractNumId w:val="10"/>
  </w:num>
  <w:num w:numId="43">
    <w:abstractNumId w:val="20"/>
  </w:num>
  <w:num w:numId="44">
    <w:abstractNumId w:val="45"/>
  </w:num>
  <w:num w:numId="45">
    <w:abstractNumId w:val="41"/>
  </w:num>
  <w:num w:numId="46">
    <w:abstractNumId w:val="33"/>
  </w:num>
  <w:num w:numId="47">
    <w:abstractNumId w:val="25"/>
  </w:num>
  <w:num w:numId="48">
    <w:abstractNumId w:val="30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2872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273E5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w-editsection1">
    <w:name w:val="mw-editsection1"/>
    <w:basedOn w:val="Fuentedeprrafopredeter"/>
    <w:rsid w:val="006B2872"/>
  </w:style>
  <w:style w:type="character" w:customStyle="1" w:styleId="mw-poem-indented">
    <w:name w:val="mw-poem-indented"/>
    <w:basedOn w:val="Fuentedeprrafopredeter"/>
    <w:rsid w:val="006B2872"/>
  </w:style>
  <w:style w:type="character" w:customStyle="1" w:styleId="mw-cite-backlink">
    <w:name w:val="mw-cite-backlink"/>
    <w:basedOn w:val="Fuentedeprrafopredeter"/>
    <w:rsid w:val="006B2872"/>
  </w:style>
  <w:style w:type="character" w:customStyle="1" w:styleId="cite-accessibility-label1">
    <w:name w:val="cite-accessibility-label1"/>
    <w:basedOn w:val="Fuentedeprrafopredeter"/>
    <w:rsid w:val="006B2872"/>
    <w:rPr>
      <w:bdr w:val="none" w:sz="0" w:space="0" w:color="auto" w:frame="1"/>
    </w:rPr>
  </w:style>
  <w:style w:type="character" w:customStyle="1" w:styleId="reference-text">
    <w:name w:val="reference-text"/>
    <w:basedOn w:val="Fuentedeprrafopredeter"/>
    <w:rsid w:val="006B2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40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8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9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Tom%C3%A1s_de_Aquino" TargetMode="External"/><Relationship Id="rId13" Type="http://schemas.openxmlformats.org/officeDocument/2006/relationships/hyperlink" Target="https://es.wikipedia.org/wiki/Misa" TargetMode="External"/><Relationship Id="rId18" Type="http://schemas.openxmlformats.org/officeDocument/2006/relationships/hyperlink" Target="https://es.wikipedia.org/wiki/Judas_Iscariote" TargetMode="External"/><Relationship Id="rId26" Type="http://schemas.openxmlformats.org/officeDocument/2006/relationships/hyperlink" Target="https://es.wikipedia.org/wiki/Iglesia_anglicana" TargetMode="External"/><Relationship Id="rId39" Type="http://schemas.openxmlformats.org/officeDocument/2006/relationships/hyperlink" Target="https://es.wikipedia.org/wiki/Bu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Cruz_cristiana" TargetMode="External"/><Relationship Id="rId34" Type="http://schemas.openxmlformats.org/officeDocument/2006/relationships/hyperlink" Target="https://es.wikipedia.org/wiki/1980" TargetMode="External"/><Relationship Id="rId7" Type="http://schemas.openxmlformats.org/officeDocument/2006/relationships/hyperlink" Target="https://es.wikipedia.org/wiki/Himno" TargetMode="External"/><Relationship Id="rId12" Type="http://schemas.openxmlformats.org/officeDocument/2006/relationships/hyperlink" Target="https://es.wikipedia.org/wiki/Laudes" TargetMode="External"/><Relationship Id="rId17" Type="http://schemas.openxmlformats.org/officeDocument/2006/relationships/hyperlink" Target="https://es.wikipedia.org/wiki/Jes%C3%BAs_de_Nazaret" TargetMode="External"/><Relationship Id="rId25" Type="http://schemas.openxmlformats.org/officeDocument/2006/relationships/hyperlink" Target="https://es.wikipedia.org/wiki/Iglesia_cat%C3%B3lica" TargetMode="External"/><Relationship Id="rId33" Type="http://schemas.openxmlformats.org/officeDocument/2006/relationships/hyperlink" Target="https://es.wikipedia.org/w/index.php?title=Tolomeo_de_Lucca&amp;action=edit&amp;redlink=1" TargetMode="External"/><Relationship Id="rId38" Type="http://schemas.openxmlformats.org/officeDocument/2006/relationships/hyperlink" Target="https://es.wikipedia.org/wiki/12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Encarnaci%C3%B3n" TargetMode="External"/><Relationship Id="rId20" Type="http://schemas.openxmlformats.org/officeDocument/2006/relationships/hyperlink" Target="https://es.wikipedia.org/wiki/Evangelio" TargetMode="External"/><Relationship Id="rId29" Type="http://schemas.openxmlformats.org/officeDocument/2006/relationships/hyperlink" Target="https://es.wikipedia.org/wiki/Bernardo_de_Clarava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Himno" TargetMode="External"/><Relationship Id="rId11" Type="http://schemas.openxmlformats.org/officeDocument/2006/relationships/hyperlink" Target="https://es.wikipedia.org/wiki/Corpus_Christi" TargetMode="External"/><Relationship Id="rId24" Type="http://schemas.openxmlformats.org/officeDocument/2006/relationships/hyperlink" Target="https://es.wikipedia.org/wiki/Adoraci%C3%B3n_eucar%C3%ADstica" TargetMode="External"/><Relationship Id="rId32" Type="http://schemas.openxmlformats.org/officeDocument/2006/relationships/hyperlink" Target="https://es.wikipedia.org/wiki/Papa_Urbano_VIII" TargetMode="External"/><Relationship Id="rId37" Type="http://schemas.openxmlformats.org/officeDocument/2006/relationships/hyperlink" Target="https://es.wikipedia.org/wiki/Bonifacio_VII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strofa" TargetMode="External"/><Relationship Id="rId23" Type="http://schemas.openxmlformats.org/officeDocument/2006/relationships/hyperlink" Target="https://es.wikipedia.org/wiki/Eucarist%C3%ADa" TargetMode="External"/><Relationship Id="rId28" Type="http://schemas.openxmlformats.org/officeDocument/2006/relationships/hyperlink" Target="https://es.wikipedia.org/wiki/Ascensi%C3%B3n_de_Jesucristo" TargetMode="External"/><Relationship Id="rId36" Type="http://schemas.openxmlformats.org/officeDocument/2006/relationships/hyperlink" Target="https://es.wikipedia.org/wiki/Verbum_Supernum_Prodiens" TargetMode="External"/><Relationship Id="rId10" Type="http://schemas.openxmlformats.org/officeDocument/2006/relationships/hyperlink" Target="https://es.wikipedia.org/wiki/Urbano_IV" TargetMode="External"/><Relationship Id="rId19" Type="http://schemas.openxmlformats.org/officeDocument/2006/relationships/hyperlink" Target="https://es.wikipedia.org/wiki/La_%C3%9Altima_Cena" TargetMode="External"/><Relationship Id="rId31" Type="http://schemas.openxmlformats.org/officeDocument/2006/relationships/hyperlink" Target="https://es.wikipedia.org/wiki/Verbum_Supernum_Prodie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apa" TargetMode="External"/><Relationship Id="rId14" Type="http://schemas.openxmlformats.org/officeDocument/2006/relationships/hyperlink" Target="https://es.wikipedia.org/wiki/Liturgia_de_las_Horas" TargetMode="External"/><Relationship Id="rId22" Type="http://schemas.openxmlformats.org/officeDocument/2006/relationships/hyperlink" Target="https://es.wikipedia.org/wiki/Para%C3%ADso" TargetMode="External"/><Relationship Id="rId27" Type="http://schemas.openxmlformats.org/officeDocument/2006/relationships/hyperlink" Target="https://es.wikipedia.org/w/index.php?title=Aeterne_Rex_Altissime&amp;action=edit&amp;redlink=1" TargetMode="External"/><Relationship Id="rId30" Type="http://schemas.openxmlformats.org/officeDocument/2006/relationships/hyperlink" Target="https://es.wikipedia.org/wiki/Verbum_Supernum_Prodiens" TargetMode="External"/><Relationship Id="rId35" Type="http://schemas.openxmlformats.org/officeDocument/2006/relationships/hyperlink" Target="https://es.wikipedia.org/wiki/19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1285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2016-11-13T06:43:00Z</cp:lastPrinted>
  <dcterms:created xsi:type="dcterms:W3CDTF">2016-11-27T17:05:00Z</dcterms:created>
  <dcterms:modified xsi:type="dcterms:W3CDTF">2016-11-27T17:05:00Z</dcterms:modified>
</cp:coreProperties>
</file>