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4" w:rsidRDefault="00C958A3" w:rsidP="00346DA4">
      <w:pPr>
        <w:pStyle w:val="Ttulo1"/>
        <w:jc w:val="center"/>
      </w:pPr>
      <w:r>
        <w:t>﻿</w:t>
      </w:r>
      <w:r w:rsidR="00346DA4">
        <w:t>Pobreza y nueva evangelización</w:t>
      </w:r>
    </w:p>
    <w:p w:rsidR="00346DA4" w:rsidRDefault="00346DA4" w:rsidP="00346DA4">
      <w:pPr>
        <w:jc w:val="center"/>
      </w:pPr>
      <w:r>
        <w:rPr>
          <w:noProof/>
          <w:color w:val="0000FF"/>
        </w:rPr>
        <w:drawing>
          <wp:inline distT="0" distB="0" distL="0" distR="0">
            <wp:extent cx="4286250" cy="2847975"/>
            <wp:effectExtent l="19050" t="0" r="0" b="0"/>
            <wp:docPr id="1" name="Imagen 1" descr="Pobreza y nueva evangelización">
              <a:hlinkClick xmlns:a="http://schemas.openxmlformats.org/drawingml/2006/main" r:id="rId6" tooltip="&quot;La página se mostrará en una ventana nuev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reza y nueva evangelización">
                      <a:hlinkClick r:id="rId6" tooltip="&quot;La página se mostrará en una ventana nuev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La nueva evangelización no es la tarea exclusiva de obispos y teólogos expertos capaces de elab</w:t>
      </w:r>
      <w:r w:rsidRPr="00346DA4">
        <w:rPr>
          <w:rFonts w:ascii="Arial" w:hAnsi="Arial" w:cs="Arial"/>
          <w:b/>
          <w:sz w:val="22"/>
          <w:szCs w:val="22"/>
        </w:rPr>
        <w:t>o</w:t>
      </w:r>
      <w:r w:rsidRPr="00346DA4">
        <w:rPr>
          <w:rFonts w:ascii="Arial" w:hAnsi="Arial" w:cs="Arial"/>
          <w:b/>
          <w:sz w:val="22"/>
          <w:szCs w:val="22"/>
        </w:rPr>
        <w:t>rar con exactitud un diagnóstico de las sociedades actuales y definir las acciones adecuadas y pe</w:t>
      </w:r>
      <w:r w:rsidRPr="00346DA4">
        <w:rPr>
          <w:rFonts w:ascii="Arial" w:hAnsi="Arial" w:cs="Arial"/>
          <w:b/>
          <w:sz w:val="22"/>
          <w:szCs w:val="22"/>
        </w:rPr>
        <w:t>r</w:t>
      </w:r>
      <w:r w:rsidRPr="00346DA4">
        <w:rPr>
          <w:rFonts w:ascii="Arial" w:hAnsi="Arial" w:cs="Arial"/>
          <w:b/>
          <w:sz w:val="22"/>
          <w:szCs w:val="22"/>
        </w:rPr>
        <w:t>tinentes para esta nueva evangelización. La nueva evangelización es tarea de toda la Iglesia y e</w:t>
      </w:r>
      <w:r w:rsidRPr="00346DA4">
        <w:rPr>
          <w:rFonts w:ascii="Arial" w:hAnsi="Arial" w:cs="Arial"/>
          <w:b/>
          <w:sz w:val="22"/>
          <w:szCs w:val="22"/>
        </w:rPr>
        <w:t>s</w:t>
      </w:r>
      <w:r w:rsidRPr="00346DA4">
        <w:rPr>
          <w:rFonts w:ascii="Arial" w:hAnsi="Arial" w:cs="Arial"/>
          <w:b/>
          <w:sz w:val="22"/>
          <w:szCs w:val="22"/>
        </w:rPr>
        <w:t>pecialmente de los bienave</w:t>
      </w:r>
      <w:r w:rsidRPr="00346DA4">
        <w:rPr>
          <w:rFonts w:ascii="Arial" w:hAnsi="Arial" w:cs="Arial"/>
          <w:b/>
          <w:sz w:val="22"/>
          <w:szCs w:val="22"/>
        </w:rPr>
        <w:t>n</w:t>
      </w:r>
      <w:r w:rsidRPr="00346DA4">
        <w:rPr>
          <w:rFonts w:ascii="Arial" w:hAnsi="Arial" w:cs="Arial"/>
          <w:b/>
          <w:sz w:val="22"/>
          <w:szCs w:val="22"/>
        </w:rPr>
        <w:t>turados del Sermón de la Montaña. Sin esta perspectiva creo que no se pueden entender las palabras del Papa Francisco en su Exhortación Apostólica “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</w:t>
      </w:r>
      <w:r w:rsidRPr="00346DA4">
        <w:rPr>
          <w:rStyle w:val="nfasis"/>
          <w:rFonts w:ascii="Arial" w:hAnsi="Arial" w:cs="Arial"/>
          <w:b/>
          <w:sz w:val="22"/>
          <w:szCs w:val="22"/>
        </w:rPr>
        <w:t>u</w:t>
      </w:r>
      <w:r w:rsidRPr="00346DA4">
        <w:rPr>
          <w:rStyle w:val="nfasis"/>
          <w:rFonts w:ascii="Arial" w:hAnsi="Arial" w:cs="Arial"/>
          <w:b/>
          <w:sz w:val="22"/>
          <w:szCs w:val="22"/>
        </w:rPr>
        <w:t>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”.</w:t>
      </w:r>
    </w:p>
    <w:p w:rsidR="00346DA4" w:rsidRPr="00346DA4" w:rsidRDefault="00346DA4" w:rsidP="00346DA4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079625" cy="2495550"/>
            <wp:effectExtent l="19050" t="0" r="0" b="0"/>
            <wp:docPr id="2" name="Imagen 2" descr="http://files.montse-serrano.webnode.es/200000797-d383fd5778/fr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montse-serrano.webnode.es/200000797-d383fd5778/fras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DA4">
        <w:rPr>
          <w:rFonts w:ascii="Arial" w:hAnsi="Arial" w:cs="Arial"/>
          <w:b/>
          <w:sz w:val="22"/>
          <w:szCs w:val="22"/>
        </w:rPr>
        <w:drawing>
          <wp:inline distT="0" distB="0" distL="0" distR="0">
            <wp:extent cx="2047875" cy="2324100"/>
            <wp:effectExtent l="19050" t="0" r="9525" b="0"/>
            <wp:docPr id="4" name="Imagen 3" descr="http://files.montse-serrano.webnode.es/200000800-35d7b37cb2/Pobreza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montse-serrano.webnode.es/200000800-35d7b37cb2/Pobreza0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La nueva evangelización comprende la inclusión social de los pobres.  Evangelizar es de</w:t>
      </w:r>
      <w:r w:rsidRPr="00346DA4">
        <w:rPr>
          <w:rFonts w:ascii="Arial" w:hAnsi="Arial" w:cs="Arial"/>
          <w:b/>
          <w:sz w:val="22"/>
          <w:szCs w:val="22"/>
        </w:rPr>
        <w:t>s</w:t>
      </w:r>
      <w:r w:rsidRPr="00346DA4">
        <w:rPr>
          <w:rFonts w:ascii="Arial" w:hAnsi="Arial" w:cs="Arial"/>
          <w:b/>
          <w:sz w:val="22"/>
          <w:szCs w:val="22"/>
        </w:rPr>
        <w:t>cubrir su lugar privilegiado en el pueblo de Dios. Jesús nos llega hoy montado en un borr</w:t>
      </w:r>
      <w:r w:rsidRPr="00346DA4">
        <w:rPr>
          <w:rFonts w:ascii="Arial" w:hAnsi="Arial" w:cs="Arial"/>
          <w:b/>
          <w:sz w:val="22"/>
          <w:szCs w:val="22"/>
        </w:rPr>
        <w:t>i</w:t>
      </w:r>
      <w:r w:rsidRPr="00346DA4">
        <w:rPr>
          <w:rFonts w:ascii="Arial" w:hAnsi="Arial" w:cs="Arial"/>
          <w:b/>
          <w:sz w:val="22"/>
          <w:szCs w:val="22"/>
        </w:rPr>
        <w:t>co.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 La nueva evangelización significa decir no a una economía de exclusión, a la nueva id</w:t>
      </w:r>
      <w:r w:rsidRPr="00346DA4">
        <w:rPr>
          <w:rFonts w:ascii="Arial" w:hAnsi="Arial" w:cs="Arial"/>
          <w:b/>
          <w:sz w:val="22"/>
          <w:szCs w:val="22"/>
        </w:rPr>
        <w:t>o</w:t>
      </w:r>
      <w:r w:rsidRPr="00346DA4">
        <w:rPr>
          <w:rFonts w:ascii="Arial" w:hAnsi="Arial" w:cs="Arial"/>
          <w:b/>
          <w:sz w:val="22"/>
          <w:szCs w:val="22"/>
        </w:rPr>
        <w:t>latría del dinero, al dinero que quiere gobernar, en  lugar de servir, a luchar contra la i</w:t>
      </w:r>
      <w:r w:rsidRPr="00346DA4">
        <w:rPr>
          <w:rFonts w:ascii="Arial" w:hAnsi="Arial" w:cs="Arial"/>
          <w:b/>
          <w:sz w:val="22"/>
          <w:szCs w:val="22"/>
        </w:rPr>
        <w:t>n</w:t>
      </w:r>
      <w:r w:rsidRPr="00346DA4">
        <w:rPr>
          <w:rFonts w:ascii="Arial" w:hAnsi="Arial" w:cs="Arial"/>
          <w:b/>
          <w:sz w:val="22"/>
          <w:szCs w:val="22"/>
        </w:rPr>
        <w:t>equidad que genera violencia. Jesús nos llama al desarrollo de una espiritualidad mision</w:t>
      </w:r>
      <w:r w:rsidRPr="00346DA4">
        <w:rPr>
          <w:rFonts w:ascii="Arial" w:hAnsi="Arial" w:cs="Arial"/>
          <w:b/>
          <w:sz w:val="22"/>
          <w:szCs w:val="22"/>
        </w:rPr>
        <w:t>e</w:t>
      </w:r>
      <w:r w:rsidRPr="00346DA4">
        <w:rPr>
          <w:rFonts w:ascii="Arial" w:hAnsi="Arial" w:cs="Arial"/>
          <w:b/>
          <w:sz w:val="22"/>
          <w:szCs w:val="22"/>
        </w:rPr>
        <w:t>ra, al rechazo de la acedia egoísta y del pesimismo estéril, a la aceptación de la vida nueva que nos trae encarnada en la real</w:t>
      </w:r>
      <w:r w:rsidRPr="00346DA4">
        <w:rPr>
          <w:rFonts w:ascii="Arial" w:hAnsi="Arial" w:cs="Arial"/>
          <w:b/>
          <w:sz w:val="22"/>
          <w:szCs w:val="22"/>
        </w:rPr>
        <w:t>i</w:t>
      </w:r>
      <w:r w:rsidRPr="00346DA4">
        <w:rPr>
          <w:rFonts w:ascii="Arial" w:hAnsi="Arial" w:cs="Arial"/>
          <w:b/>
          <w:sz w:val="22"/>
          <w:szCs w:val="22"/>
        </w:rPr>
        <w:t>dad del mundo y de toda la humanidad.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 Cada cristiano y cada comunidad estamos llamados a ser instrumentos de Dios para la liberación y promoción de los pobres, de manera que puedan integrarse plenamente en la sociedad; esto sup</w:t>
      </w:r>
      <w:r w:rsidRPr="00346DA4">
        <w:rPr>
          <w:rFonts w:ascii="Arial" w:hAnsi="Arial" w:cs="Arial"/>
          <w:b/>
          <w:sz w:val="22"/>
          <w:szCs w:val="22"/>
        </w:rPr>
        <w:t>o</w:t>
      </w:r>
      <w:r w:rsidRPr="00346DA4">
        <w:rPr>
          <w:rFonts w:ascii="Arial" w:hAnsi="Arial" w:cs="Arial"/>
          <w:b/>
          <w:sz w:val="22"/>
          <w:szCs w:val="22"/>
        </w:rPr>
        <w:t>ne que seamos dóciles y atentos para escuchar el clamor del pobre y socorrerlo . Hacer oídos so</w:t>
      </w:r>
      <w:r w:rsidRPr="00346DA4">
        <w:rPr>
          <w:rFonts w:ascii="Arial" w:hAnsi="Arial" w:cs="Arial"/>
          <w:b/>
          <w:sz w:val="22"/>
          <w:szCs w:val="22"/>
        </w:rPr>
        <w:t>r</w:t>
      </w:r>
      <w:r w:rsidRPr="00346DA4">
        <w:rPr>
          <w:rFonts w:ascii="Arial" w:hAnsi="Arial" w:cs="Arial"/>
          <w:b/>
          <w:sz w:val="22"/>
          <w:szCs w:val="22"/>
        </w:rPr>
        <w:t>dos a ese clamor nos sitúa fuera de la voluntad del Padre y de su proyecto. La falta de solidaridad en sus necesidades afecta directamente a nuestra rel</w:t>
      </w:r>
      <w:r w:rsidRPr="00346DA4">
        <w:rPr>
          <w:rFonts w:ascii="Arial" w:hAnsi="Arial" w:cs="Arial"/>
          <w:b/>
          <w:sz w:val="22"/>
          <w:szCs w:val="22"/>
        </w:rPr>
        <w:t>a</w:t>
      </w:r>
      <w:r w:rsidRPr="00346DA4">
        <w:rPr>
          <w:rFonts w:ascii="Arial" w:hAnsi="Arial" w:cs="Arial"/>
          <w:b/>
          <w:sz w:val="22"/>
          <w:szCs w:val="22"/>
        </w:rPr>
        <w:t>ción con Dios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187).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lastRenderedPageBreak/>
        <w:t> 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La exigencia de escuchar este clamor brota de la misma obra liberadora de la gracia en c</w:t>
      </w:r>
      <w:r w:rsidRPr="00346DA4">
        <w:rPr>
          <w:rFonts w:ascii="Arial" w:hAnsi="Arial" w:cs="Arial"/>
          <w:b/>
          <w:sz w:val="22"/>
          <w:szCs w:val="22"/>
        </w:rPr>
        <w:t>a</w:t>
      </w:r>
      <w:r w:rsidRPr="00346DA4">
        <w:rPr>
          <w:rFonts w:ascii="Arial" w:hAnsi="Arial" w:cs="Arial"/>
          <w:b/>
          <w:sz w:val="22"/>
          <w:szCs w:val="22"/>
        </w:rPr>
        <w:t>da uno de nosotros. No se trata de una misión reservada sólo a algunos. Implica la cooperación para r</w:t>
      </w:r>
      <w:r w:rsidRPr="00346DA4">
        <w:rPr>
          <w:rFonts w:ascii="Arial" w:hAnsi="Arial" w:cs="Arial"/>
          <w:b/>
          <w:sz w:val="22"/>
          <w:szCs w:val="22"/>
        </w:rPr>
        <w:t>e</w:t>
      </w:r>
      <w:r w:rsidRPr="00346DA4">
        <w:rPr>
          <w:rFonts w:ascii="Arial" w:hAnsi="Arial" w:cs="Arial"/>
          <w:b/>
          <w:sz w:val="22"/>
          <w:szCs w:val="22"/>
        </w:rPr>
        <w:t>solver las causas estruct</w:t>
      </w:r>
      <w:r w:rsidRPr="00346DA4">
        <w:rPr>
          <w:rFonts w:ascii="Arial" w:hAnsi="Arial" w:cs="Arial"/>
          <w:b/>
          <w:sz w:val="22"/>
          <w:szCs w:val="22"/>
        </w:rPr>
        <w:t>u</w:t>
      </w:r>
      <w:r w:rsidRPr="00346DA4">
        <w:rPr>
          <w:rFonts w:ascii="Arial" w:hAnsi="Arial" w:cs="Arial"/>
          <w:b/>
          <w:sz w:val="22"/>
          <w:szCs w:val="22"/>
        </w:rPr>
        <w:t>rales de la pobreza y para promover el desarrollo integral de los pobres. Comprende no solo los gestos más simples y cotidianos de solidaridad ante las miserias muy co</w:t>
      </w:r>
      <w:r w:rsidRPr="00346DA4">
        <w:rPr>
          <w:rFonts w:ascii="Arial" w:hAnsi="Arial" w:cs="Arial"/>
          <w:b/>
          <w:sz w:val="22"/>
          <w:szCs w:val="22"/>
        </w:rPr>
        <w:t>n</w:t>
      </w:r>
      <w:r w:rsidRPr="00346DA4">
        <w:rPr>
          <w:rFonts w:ascii="Arial" w:hAnsi="Arial" w:cs="Arial"/>
          <w:b/>
          <w:sz w:val="22"/>
          <w:szCs w:val="22"/>
        </w:rPr>
        <w:t>cretas que encontramos. La solidaridad es mucho más que algunos actos esporádicos de gener</w:t>
      </w:r>
      <w:r w:rsidRPr="00346DA4">
        <w:rPr>
          <w:rFonts w:ascii="Arial" w:hAnsi="Arial" w:cs="Arial"/>
          <w:b/>
          <w:sz w:val="22"/>
          <w:szCs w:val="22"/>
        </w:rPr>
        <w:t>o</w:t>
      </w:r>
      <w:r w:rsidRPr="00346DA4">
        <w:rPr>
          <w:rFonts w:ascii="Arial" w:hAnsi="Arial" w:cs="Arial"/>
          <w:b/>
          <w:sz w:val="22"/>
          <w:szCs w:val="22"/>
        </w:rPr>
        <w:t>sidad. Supone crear una nueva mentalidad que pie</w:t>
      </w:r>
      <w:r w:rsidRPr="00346DA4">
        <w:rPr>
          <w:rFonts w:ascii="Arial" w:hAnsi="Arial" w:cs="Arial"/>
          <w:b/>
          <w:sz w:val="22"/>
          <w:szCs w:val="22"/>
        </w:rPr>
        <w:t>n</w:t>
      </w:r>
      <w:r w:rsidRPr="00346DA4">
        <w:rPr>
          <w:rFonts w:ascii="Arial" w:hAnsi="Arial" w:cs="Arial"/>
          <w:b/>
          <w:sz w:val="22"/>
          <w:szCs w:val="22"/>
        </w:rPr>
        <w:t>se en términos de comunidad, de prioridad de la vida de todos sobre la apropiación de los bienes por parte de a</w:t>
      </w:r>
      <w:r w:rsidRPr="00346DA4">
        <w:rPr>
          <w:rFonts w:ascii="Arial" w:hAnsi="Arial" w:cs="Arial"/>
          <w:b/>
          <w:sz w:val="22"/>
          <w:szCs w:val="22"/>
        </w:rPr>
        <w:t>l</w:t>
      </w:r>
      <w:r w:rsidRPr="00346DA4">
        <w:rPr>
          <w:rFonts w:ascii="Arial" w:hAnsi="Arial" w:cs="Arial"/>
          <w:b/>
          <w:sz w:val="22"/>
          <w:szCs w:val="22"/>
        </w:rPr>
        <w:t>gunos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188).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 “La solidaridad es una reacción espontánea de quien reconoce la función social de la pr</w:t>
      </w:r>
      <w:r w:rsidRPr="00346DA4">
        <w:rPr>
          <w:rFonts w:ascii="Arial" w:hAnsi="Arial" w:cs="Arial"/>
          <w:b/>
          <w:sz w:val="22"/>
          <w:szCs w:val="22"/>
        </w:rPr>
        <w:t>o</w:t>
      </w:r>
      <w:r w:rsidRPr="00346DA4">
        <w:rPr>
          <w:rFonts w:ascii="Arial" w:hAnsi="Arial" w:cs="Arial"/>
          <w:b/>
          <w:sz w:val="22"/>
          <w:szCs w:val="22"/>
        </w:rPr>
        <w:t>piedad y el destino universal de los bienes como realidades anteriores a la propiedad pr</w:t>
      </w:r>
      <w:r w:rsidRPr="00346DA4">
        <w:rPr>
          <w:rFonts w:ascii="Arial" w:hAnsi="Arial" w:cs="Arial"/>
          <w:b/>
          <w:sz w:val="22"/>
          <w:szCs w:val="22"/>
        </w:rPr>
        <w:t>i</w:t>
      </w:r>
      <w:r w:rsidRPr="00346DA4">
        <w:rPr>
          <w:rFonts w:ascii="Arial" w:hAnsi="Arial" w:cs="Arial"/>
          <w:b/>
          <w:sz w:val="22"/>
          <w:szCs w:val="22"/>
        </w:rPr>
        <w:t>vada. La posesión privada de los bienes se justifica para cuidarlos y acrecentarlos de m</w:t>
      </w:r>
      <w:r w:rsidRPr="00346DA4">
        <w:rPr>
          <w:rFonts w:ascii="Arial" w:hAnsi="Arial" w:cs="Arial"/>
          <w:b/>
          <w:sz w:val="22"/>
          <w:szCs w:val="22"/>
        </w:rPr>
        <w:t>a</w:t>
      </w:r>
      <w:r w:rsidRPr="00346DA4">
        <w:rPr>
          <w:rFonts w:ascii="Arial" w:hAnsi="Arial" w:cs="Arial"/>
          <w:b/>
          <w:sz w:val="22"/>
          <w:szCs w:val="22"/>
        </w:rPr>
        <w:t>nera que sirvan mejor al bien común, por lo cual la solidaridad debe vivirse como la decisión de devolverle al pobre lo que le c</w:t>
      </w:r>
      <w:r w:rsidRPr="00346DA4">
        <w:rPr>
          <w:rFonts w:ascii="Arial" w:hAnsi="Arial" w:cs="Arial"/>
          <w:b/>
          <w:sz w:val="22"/>
          <w:szCs w:val="22"/>
        </w:rPr>
        <w:t>o</w:t>
      </w:r>
      <w:r w:rsidRPr="00346DA4">
        <w:rPr>
          <w:rFonts w:ascii="Arial" w:hAnsi="Arial" w:cs="Arial"/>
          <w:b/>
          <w:sz w:val="22"/>
          <w:szCs w:val="22"/>
        </w:rPr>
        <w:t>rresponde. Estas convicciones y hábitos de solid</w:t>
      </w:r>
      <w:r w:rsidRPr="00346DA4">
        <w:rPr>
          <w:rFonts w:ascii="Arial" w:hAnsi="Arial" w:cs="Arial"/>
          <w:b/>
          <w:sz w:val="22"/>
          <w:szCs w:val="22"/>
        </w:rPr>
        <w:t>a</w:t>
      </w:r>
      <w:r w:rsidRPr="00346DA4">
        <w:rPr>
          <w:rFonts w:ascii="Arial" w:hAnsi="Arial" w:cs="Arial"/>
          <w:b/>
          <w:sz w:val="22"/>
          <w:szCs w:val="22"/>
        </w:rPr>
        <w:t>ridad, cuando se hacen carne, abren camino a otras transformaciones estructurales y las vuelven posibles. Un cambio en las estructuras sin g</w:t>
      </w:r>
      <w:r w:rsidRPr="00346DA4">
        <w:rPr>
          <w:rFonts w:ascii="Arial" w:hAnsi="Arial" w:cs="Arial"/>
          <w:b/>
          <w:sz w:val="22"/>
          <w:szCs w:val="22"/>
        </w:rPr>
        <w:t>e</w:t>
      </w:r>
      <w:r w:rsidRPr="00346DA4">
        <w:rPr>
          <w:rFonts w:ascii="Arial" w:hAnsi="Arial" w:cs="Arial"/>
          <w:b/>
          <w:sz w:val="22"/>
          <w:szCs w:val="22"/>
        </w:rPr>
        <w:t>nerar nuevas convicciones y actit</w:t>
      </w:r>
      <w:r w:rsidRPr="00346DA4">
        <w:rPr>
          <w:rFonts w:ascii="Arial" w:hAnsi="Arial" w:cs="Arial"/>
          <w:b/>
          <w:sz w:val="22"/>
          <w:szCs w:val="22"/>
        </w:rPr>
        <w:t>u</w:t>
      </w:r>
      <w:r w:rsidRPr="00346DA4">
        <w:rPr>
          <w:rFonts w:ascii="Arial" w:hAnsi="Arial" w:cs="Arial"/>
          <w:b/>
          <w:sz w:val="22"/>
          <w:szCs w:val="22"/>
        </w:rPr>
        <w:t>des dará lugar a que esas mismas estructuras tarde o temprano se vuelvan corruptas, p</w:t>
      </w:r>
      <w:r w:rsidRPr="00346DA4">
        <w:rPr>
          <w:rFonts w:ascii="Arial" w:hAnsi="Arial" w:cs="Arial"/>
          <w:b/>
          <w:sz w:val="22"/>
          <w:szCs w:val="22"/>
        </w:rPr>
        <w:t>e</w:t>
      </w:r>
      <w:r w:rsidRPr="00346DA4">
        <w:rPr>
          <w:rFonts w:ascii="Arial" w:hAnsi="Arial" w:cs="Arial"/>
          <w:b/>
          <w:sz w:val="22"/>
          <w:szCs w:val="22"/>
        </w:rPr>
        <w:t>sadas e ineficaces”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189).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 La nueva evangelización comprende escuchar el clamor de los pueblos más pobres de la tierra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190). En cada lugar y circunstancia, los cristianos estamos llamados a e</w:t>
      </w:r>
      <w:r w:rsidRPr="00346DA4">
        <w:rPr>
          <w:rFonts w:ascii="Arial" w:hAnsi="Arial" w:cs="Arial"/>
          <w:b/>
          <w:sz w:val="22"/>
          <w:szCs w:val="22"/>
        </w:rPr>
        <w:t>s</w:t>
      </w:r>
      <w:r w:rsidRPr="00346DA4">
        <w:rPr>
          <w:rFonts w:ascii="Arial" w:hAnsi="Arial" w:cs="Arial"/>
          <w:b/>
          <w:sz w:val="22"/>
          <w:szCs w:val="22"/>
        </w:rPr>
        <w:t>cuchar el clamor de los pobres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191). “El imperativo de escuchar el clamor de los pobres se hace carne en nosotros cuando se nos estremecen las entrañas ante el dolor aj</w:t>
      </w:r>
      <w:r w:rsidRPr="00346DA4">
        <w:rPr>
          <w:rFonts w:ascii="Arial" w:hAnsi="Arial" w:cs="Arial"/>
          <w:b/>
          <w:sz w:val="22"/>
          <w:szCs w:val="22"/>
        </w:rPr>
        <w:t>e</w:t>
      </w:r>
      <w:r w:rsidRPr="00346DA4">
        <w:rPr>
          <w:rFonts w:ascii="Arial" w:hAnsi="Arial" w:cs="Arial"/>
          <w:b/>
          <w:sz w:val="22"/>
          <w:szCs w:val="22"/>
        </w:rPr>
        <w:t>no”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</w:t>
      </w:r>
      <w:r w:rsidRPr="00346DA4">
        <w:rPr>
          <w:rStyle w:val="nfasis"/>
          <w:rFonts w:ascii="Arial" w:hAnsi="Arial" w:cs="Arial"/>
          <w:b/>
          <w:sz w:val="22"/>
          <w:szCs w:val="22"/>
        </w:rPr>
        <w:t>u</w:t>
      </w:r>
      <w:r w:rsidRPr="00346DA4">
        <w:rPr>
          <w:rStyle w:val="nfasis"/>
          <w:rFonts w:ascii="Arial" w:hAnsi="Arial" w:cs="Arial"/>
          <w:b/>
          <w:sz w:val="22"/>
          <w:szCs w:val="22"/>
        </w:rPr>
        <w:t>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193).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 El Papa Francisco ha sido muy claro: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i/>
          <w:sz w:val="22"/>
          <w:szCs w:val="22"/>
        </w:rPr>
        <w:t>“Quiero una Iglesia pobre para los pobres. Ellos tienen mucho que enseñarnos. Además de partic</w:t>
      </w:r>
      <w:r w:rsidRPr="00346DA4">
        <w:rPr>
          <w:rFonts w:ascii="Arial" w:hAnsi="Arial" w:cs="Arial"/>
          <w:b/>
          <w:i/>
          <w:sz w:val="22"/>
          <w:szCs w:val="22"/>
        </w:rPr>
        <w:t>i</w:t>
      </w:r>
      <w:r w:rsidRPr="00346DA4">
        <w:rPr>
          <w:rFonts w:ascii="Arial" w:hAnsi="Arial" w:cs="Arial"/>
          <w:b/>
          <w:i/>
          <w:sz w:val="22"/>
          <w:szCs w:val="22"/>
        </w:rPr>
        <w:t xml:space="preserve">par del </w:t>
      </w:r>
      <w:proofErr w:type="spellStart"/>
      <w:r w:rsidRPr="00346DA4">
        <w:rPr>
          <w:rStyle w:val="nfasis"/>
          <w:rFonts w:ascii="Arial" w:hAnsi="Arial" w:cs="Arial"/>
          <w:b/>
          <w:i w:val="0"/>
          <w:sz w:val="22"/>
          <w:szCs w:val="22"/>
        </w:rPr>
        <w:t>sensus</w:t>
      </w:r>
      <w:proofErr w:type="spellEnd"/>
      <w:r w:rsidRPr="00346DA4">
        <w:rPr>
          <w:rStyle w:val="nfasis"/>
          <w:rFonts w:ascii="Arial" w:hAnsi="Arial" w:cs="Arial"/>
          <w:b/>
          <w:i w:val="0"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i w:val="0"/>
          <w:sz w:val="22"/>
          <w:szCs w:val="22"/>
        </w:rPr>
        <w:t>fidei</w:t>
      </w:r>
      <w:proofErr w:type="spellEnd"/>
      <w:r w:rsidRPr="00346DA4">
        <w:rPr>
          <w:rStyle w:val="nfasis"/>
          <w:rFonts w:ascii="Arial" w:hAnsi="Arial" w:cs="Arial"/>
          <w:b/>
          <w:i w:val="0"/>
          <w:sz w:val="22"/>
          <w:szCs w:val="22"/>
        </w:rPr>
        <w:t xml:space="preserve">, </w:t>
      </w:r>
      <w:r w:rsidRPr="00346DA4">
        <w:rPr>
          <w:rFonts w:ascii="Arial" w:hAnsi="Arial" w:cs="Arial"/>
          <w:b/>
          <w:i/>
          <w:sz w:val="22"/>
          <w:szCs w:val="22"/>
        </w:rPr>
        <w:t>en sus propios dolores conocen al Cristo sufriente. Es neces</w:t>
      </w:r>
      <w:r w:rsidRPr="00346DA4">
        <w:rPr>
          <w:rFonts w:ascii="Arial" w:hAnsi="Arial" w:cs="Arial"/>
          <w:b/>
          <w:i/>
          <w:sz w:val="22"/>
          <w:szCs w:val="22"/>
        </w:rPr>
        <w:t>a</w:t>
      </w:r>
      <w:r w:rsidRPr="00346DA4">
        <w:rPr>
          <w:rFonts w:ascii="Arial" w:hAnsi="Arial" w:cs="Arial"/>
          <w:b/>
          <w:i/>
          <w:sz w:val="22"/>
          <w:szCs w:val="22"/>
        </w:rPr>
        <w:t>rio que todos nos dejemos evang</w:t>
      </w:r>
      <w:r w:rsidRPr="00346DA4">
        <w:rPr>
          <w:rFonts w:ascii="Arial" w:hAnsi="Arial" w:cs="Arial"/>
          <w:b/>
          <w:i/>
          <w:sz w:val="22"/>
          <w:szCs w:val="22"/>
        </w:rPr>
        <w:t>e</w:t>
      </w:r>
      <w:r w:rsidRPr="00346DA4">
        <w:rPr>
          <w:rFonts w:ascii="Arial" w:hAnsi="Arial" w:cs="Arial"/>
          <w:b/>
          <w:i/>
          <w:sz w:val="22"/>
          <w:szCs w:val="22"/>
        </w:rPr>
        <w:t>lizar por ellos. La nueva evangelización es una invitación a reconocer la fuerza salvífica de sus vidas y a ponerlos en el centro del camino de la Iglesia. Estamos llamados a de</w:t>
      </w:r>
      <w:r w:rsidRPr="00346DA4">
        <w:rPr>
          <w:rFonts w:ascii="Arial" w:hAnsi="Arial" w:cs="Arial"/>
          <w:b/>
          <w:i/>
          <w:sz w:val="22"/>
          <w:szCs w:val="22"/>
        </w:rPr>
        <w:t>s</w:t>
      </w:r>
      <w:r w:rsidRPr="00346DA4">
        <w:rPr>
          <w:rFonts w:ascii="Arial" w:hAnsi="Arial" w:cs="Arial"/>
          <w:b/>
          <w:i/>
          <w:sz w:val="22"/>
          <w:szCs w:val="22"/>
        </w:rPr>
        <w:t>cubrir a Cristo en ellos, a prestarles nuestra voz en sus ca</w:t>
      </w:r>
      <w:r w:rsidRPr="00346DA4">
        <w:rPr>
          <w:rFonts w:ascii="Arial" w:hAnsi="Arial" w:cs="Arial"/>
          <w:b/>
          <w:i/>
          <w:sz w:val="22"/>
          <w:szCs w:val="22"/>
        </w:rPr>
        <w:t>u</w:t>
      </w:r>
      <w:r w:rsidRPr="00346DA4">
        <w:rPr>
          <w:rFonts w:ascii="Arial" w:hAnsi="Arial" w:cs="Arial"/>
          <w:b/>
          <w:i/>
          <w:sz w:val="22"/>
          <w:szCs w:val="22"/>
        </w:rPr>
        <w:t>sas, pero también a ser sus amigos, a escucharlos, a interpretarlos y a recoger la misteri</w:t>
      </w:r>
      <w:r w:rsidRPr="00346DA4">
        <w:rPr>
          <w:rFonts w:ascii="Arial" w:hAnsi="Arial" w:cs="Arial"/>
          <w:b/>
          <w:i/>
          <w:sz w:val="22"/>
          <w:szCs w:val="22"/>
        </w:rPr>
        <w:t>o</w:t>
      </w:r>
      <w:r w:rsidRPr="00346DA4">
        <w:rPr>
          <w:rFonts w:ascii="Arial" w:hAnsi="Arial" w:cs="Arial"/>
          <w:b/>
          <w:i/>
          <w:sz w:val="22"/>
          <w:szCs w:val="22"/>
        </w:rPr>
        <w:t>sa sabiduría que Dios quiere comunicarnos a través de ellos”</w:t>
      </w:r>
      <w:r w:rsidRPr="00346DA4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187).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 Nuestro compromiso no puede consistir exclusivamente en acciones o en programas de prom</w:t>
      </w:r>
      <w:r w:rsidRPr="00346DA4">
        <w:rPr>
          <w:rFonts w:ascii="Arial" w:hAnsi="Arial" w:cs="Arial"/>
          <w:b/>
          <w:sz w:val="22"/>
          <w:szCs w:val="22"/>
        </w:rPr>
        <w:t>o</w:t>
      </w:r>
      <w:r w:rsidRPr="00346DA4">
        <w:rPr>
          <w:rFonts w:ascii="Arial" w:hAnsi="Arial" w:cs="Arial"/>
          <w:b/>
          <w:sz w:val="22"/>
          <w:szCs w:val="22"/>
        </w:rPr>
        <w:t>ción y asistencia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188); resolver las causas estructurales de la pobreza no puede esp</w:t>
      </w:r>
      <w:r w:rsidRPr="00346DA4">
        <w:rPr>
          <w:rFonts w:ascii="Arial" w:hAnsi="Arial" w:cs="Arial"/>
          <w:b/>
          <w:sz w:val="22"/>
          <w:szCs w:val="22"/>
        </w:rPr>
        <w:t>e</w:t>
      </w:r>
      <w:r w:rsidRPr="00346DA4">
        <w:rPr>
          <w:rFonts w:ascii="Arial" w:hAnsi="Arial" w:cs="Arial"/>
          <w:b/>
          <w:sz w:val="22"/>
          <w:szCs w:val="22"/>
        </w:rPr>
        <w:t>rar. Los planes asistenciales, que atienden ciertas urgencias, sólo deberían pensarse como respuestas pasajeras.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“Mientras no se resuelvan radicalmente los problemas de los pobres, renunciando a la autonomía a</w:t>
      </w:r>
      <w:r w:rsidRPr="00346DA4">
        <w:rPr>
          <w:rFonts w:ascii="Arial" w:hAnsi="Arial" w:cs="Arial"/>
          <w:b/>
          <w:sz w:val="22"/>
          <w:szCs w:val="22"/>
        </w:rPr>
        <w:t>b</w:t>
      </w:r>
      <w:r w:rsidRPr="00346DA4">
        <w:rPr>
          <w:rFonts w:ascii="Arial" w:hAnsi="Arial" w:cs="Arial"/>
          <w:b/>
          <w:sz w:val="22"/>
          <w:szCs w:val="22"/>
        </w:rPr>
        <w:t>soluta de los mercados y de la especulación financiera y atacando las causas estructurales de la inequidad, no se resolverán los problemas del mundo y en definitiva ningún problema. La inequ</w:t>
      </w:r>
      <w:r w:rsidRPr="00346DA4">
        <w:rPr>
          <w:rFonts w:ascii="Arial" w:hAnsi="Arial" w:cs="Arial"/>
          <w:b/>
          <w:sz w:val="22"/>
          <w:szCs w:val="22"/>
        </w:rPr>
        <w:t>i</w:t>
      </w:r>
      <w:r w:rsidRPr="00346DA4">
        <w:rPr>
          <w:rFonts w:ascii="Arial" w:hAnsi="Arial" w:cs="Arial"/>
          <w:b/>
          <w:sz w:val="22"/>
          <w:szCs w:val="22"/>
        </w:rPr>
        <w:t>dad es raíz de los males sociales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202).</w:t>
      </w:r>
    </w:p>
    <w:p w:rsidR="00346DA4" w:rsidRPr="00346DA4" w:rsidRDefault="00346DA4" w:rsidP="00346DA4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346DA4">
        <w:rPr>
          <w:rFonts w:ascii="Arial" w:hAnsi="Arial" w:cs="Arial"/>
          <w:b/>
          <w:sz w:val="22"/>
          <w:szCs w:val="22"/>
        </w:rPr>
        <w:t> La dignidad de cada persona humana y el bien común son cuestiones que deberían e</w:t>
      </w:r>
      <w:r w:rsidRPr="00346DA4">
        <w:rPr>
          <w:rFonts w:ascii="Arial" w:hAnsi="Arial" w:cs="Arial"/>
          <w:b/>
          <w:sz w:val="22"/>
          <w:szCs w:val="22"/>
        </w:rPr>
        <w:t>s</w:t>
      </w:r>
      <w:r w:rsidRPr="00346DA4">
        <w:rPr>
          <w:rFonts w:ascii="Arial" w:hAnsi="Arial" w:cs="Arial"/>
          <w:b/>
          <w:sz w:val="22"/>
          <w:szCs w:val="22"/>
        </w:rPr>
        <w:t>tructurar toda política económica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203). Ya no podemos confiar en las fuerzas ciegas y en la mano invisible del mercado. El crecimiento en equidad exige algo más que el crecimiento económico, requiere decisiones, programas, mecanismos y proc</w:t>
      </w:r>
      <w:r w:rsidRPr="00346DA4">
        <w:rPr>
          <w:rFonts w:ascii="Arial" w:hAnsi="Arial" w:cs="Arial"/>
          <w:b/>
          <w:sz w:val="22"/>
          <w:szCs w:val="22"/>
        </w:rPr>
        <w:t>e</w:t>
      </w:r>
      <w:r w:rsidRPr="00346DA4">
        <w:rPr>
          <w:rFonts w:ascii="Arial" w:hAnsi="Arial" w:cs="Arial"/>
          <w:b/>
          <w:sz w:val="22"/>
          <w:szCs w:val="22"/>
        </w:rPr>
        <w:t>sos específicamente orientados a una mejor distribución del ingreso, a una creación de fuentes de trabajo (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Evangelii</w:t>
      </w:r>
      <w:proofErr w:type="spellEnd"/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Gaudium</w:t>
      </w:r>
      <w:proofErr w:type="spellEnd"/>
      <w:r w:rsidRPr="00346DA4">
        <w:rPr>
          <w:rFonts w:ascii="Arial" w:hAnsi="Arial" w:cs="Arial"/>
          <w:b/>
          <w:sz w:val="22"/>
          <w:szCs w:val="22"/>
        </w:rPr>
        <w:t>, n. 204).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346DA4">
        <w:rPr>
          <w:rStyle w:val="nfasis"/>
          <w:rFonts w:ascii="Arial" w:hAnsi="Arial" w:cs="Arial"/>
          <w:b/>
          <w:sz w:val="22"/>
          <w:szCs w:val="22"/>
        </w:rPr>
        <w:t>Francisco J</w:t>
      </w:r>
      <w:r w:rsidRPr="00346DA4">
        <w:rPr>
          <w:rStyle w:val="nfasis"/>
          <w:rFonts w:ascii="Arial" w:hAnsi="Arial" w:cs="Arial"/>
          <w:b/>
          <w:sz w:val="22"/>
          <w:szCs w:val="22"/>
        </w:rPr>
        <w:t>a</w:t>
      </w:r>
      <w:r w:rsidRPr="00346DA4">
        <w:rPr>
          <w:rStyle w:val="nfasis"/>
          <w:rFonts w:ascii="Arial" w:hAnsi="Arial" w:cs="Arial"/>
          <w:b/>
          <w:sz w:val="22"/>
          <w:szCs w:val="22"/>
        </w:rPr>
        <w:t xml:space="preserve">vier </w:t>
      </w:r>
      <w:proofErr w:type="spellStart"/>
      <w:r w:rsidRPr="00346DA4">
        <w:rPr>
          <w:rStyle w:val="nfasis"/>
          <w:rFonts w:ascii="Arial" w:hAnsi="Arial" w:cs="Arial"/>
          <w:b/>
          <w:sz w:val="22"/>
          <w:szCs w:val="22"/>
        </w:rPr>
        <w:t>Alon</w:t>
      </w:r>
      <w:proofErr w:type="spellEnd"/>
    </w:p>
    <w:p w:rsidR="00346DA4" w:rsidRPr="00346DA4" w:rsidRDefault="00346DA4" w:rsidP="00346DA4">
      <w:pPr>
        <w:rPr>
          <w:b/>
          <w:color w:val="000000"/>
          <w:sz w:val="22"/>
          <w:szCs w:val="22"/>
        </w:rPr>
      </w:pPr>
      <w:r w:rsidRPr="00346DA4">
        <w:rPr>
          <w:b/>
          <w:color w:val="000000"/>
          <w:sz w:val="22"/>
          <w:szCs w:val="22"/>
        </w:rPr>
        <w:t xml:space="preserve">Leer más: </w:t>
      </w:r>
      <w:hyperlink r:id="rId10" w:history="1">
        <w:r w:rsidRPr="00346DA4">
          <w:rPr>
            <w:rStyle w:val="Hipervnculo"/>
            <w:b/>
            <w:sz w:val="22"/>
            <w:szCs w:val="22"/>
          </w:rPr>
          <w:t>http://www.juspax-es.org/products/pobreza-y-nueva-evangelizacion/</w:t>
        </w:r>
      </w:hyperlink>
    </w:p>
    <w:p w:rsidR="004B1731" w:rsidRDefault="004B1731" w:rsidP="00C958A3">
      <w:pPr>
        <w:rPr>
          <w:b/>
        </w:rPr>
      </w:pPr>
    </w:p>
    <w:p w:rsidR="00346DA4" w:rsidRDefault="00346DA4" w:rsidP="00C958A3">
      <w:pPr>
        <w:rPr>
          <w:b/>
        </w:rPr>
      </w:pPr>
    </w:p>
    <w:p w:rsidR="00346DA4" w:rsidRDefault="00346DA4" w:rsidP="00C958A3">
      <w:pPr>
        <w:rPr>
          <w:b/>
        </w:rPr>
      </w:pPr>
    </w:p>
    <w:p w:rsidR="00346DA4" w:rsidRDefault="00346DA4" w:rsidP="00C958A3">
      <w:pPr>
        <w:rPr>
          <w:b/>
        </w:rPr>
      </w:pPr>
    </w:p>
    <w:p w:rsidR="00346DA4" w:rsidRDefault="00346DA4" w:rsidP="00C958A3">
      <w:pPr>
        <w:rPr>
          <w:b/>
        </w:rPr>
      </w:pPr>
    </w:p>
    <w:p w:rsidR="00346DA4" w:rsidRPr="00346DA4" w:rsidRDefault="00346DA4" w:rsidP="00346DA4">
      <w:pPr>
        <w:jc w:val="center"/>
        <w:rPr>
          <w:b/>
          <w:color w:val="FF0000"/>
          <w:sz w:val="32"/>
          <w:szCs w:val="32"/>
        </w:rPr>
      </w:pPr>
      <w:r w:rsidRPr="00346DA4">
        <w:rPr>
          <w:b/>
          <w:color w:val="FF0000"/>
          <w:sz w:val="32"/>
          <w:szCs w:val="32"/>
        </w:rPr>
        <w:lastRenderedPageBreak/>
        <w:t>Veinte formas de conocer hechos de justicia social</w:t>
      </w:r>
    </w:p>
    <w:p w:rsidR="00346DA4" w:rsidRPr="00346DA4" w:rsidRDefault="00346DA4" w:rsidP="00346DA4">
      <w:pPr>
        <w:jc w:val="center"/>
        <w:rPr>
          <w:b/>
          <w:color w:val="0070C0"/>
        </w:rPr>
      </w:pPr>
      <w:r w:rsidRPr="00346DA4">
        <w:rPr>
          <w:b/>
          <w:color w:val="0070C0"/>
        </w:rPr>
        <w:t>Escribe en la columna de la derecha una X</w:t>
      </w:r>
    </w:p>
    <w:p w:rsidR="00346DA4" w:rsidRPr="00346DA4" w:rsidRDefault="00346DA4" w:rsidP="00346DA4">
      <w:pPr>
        <w:jc w:val="center"/>
        <w:rPr>
          <w:b/>
          <w:color w:val="0070C0"/>
        </w:rPr>
      </w:pPr>
      <w:r w:rsidRPr="00346DA4">
        <w:rPr>
          <w:b/>
          <w:color w:val="0070C0"/>
        </w:rPr>
        <w:t>X  en yo personalmente columna 1</w:t>
      </w:r>
    </w:p>
    <w:p w:rsidR="00346DA4" w:rsidRPr="00346DA4" w:rsidRDefault="00346DA4" w:rsidP="00346DA4">
      <w:pPr>
        <w:jc w:val="center"/>
        <w:rPr>
          <w:b/>
          <w:color w:val="0070C0"/>
        </w:rPr>
      </w:pPr>
      <w:r w:rsidRPr="00346DA4">
        <w:rPr>
          <w:b/>
          <w:color w:val="0070C0"/>
        </w:rPr>
        <w:t>X  en otros cercanos, de vista, con experiencia cercana</w:t>
      </w:r>
    </w:p>
    <w:p w:rsidR="00346DA4" w:rsidRPr="00346DA4" w:rsidRDefault="00346DA4" w:rsidP="00346DA4">
      <w:pPr>
        <w:jc w:val="center"/>
        <w:rPr>
          <w:b/>
          <w:color w:val="0070C0"/>
        </w:rPr>
      </w:pPr>
      <w:r w:rsidRPr="00346DA4">
        <w:rPr>
          <w:b/>
          <w:color w:val="0070C0"/>
        </w:rPr>
        <w:t>X  en otros no de cerca, solo en otros de oídas</w:t>
      </w:r>
    </w:p>
    <w:p w:rsidR="00346DA4" w:rsidRDefault="00346DA4" w:rsidP="00346DA4">
      <w:pPr>
        <w:jc w:val="center"/>
        <w:rPr>
          <w:b/>
          <w:color w:val="0070C0"/>
        </w:rPr>
      </w:pPr>
      <w:r w:rsidRPr="00346DA4">
        <w:rPr>
          <w:b/>
          <w:color w:val="0070C0"/>
        </w:rPr>
        <w:t xml:space="preserve">Si te suena como algo nunca </w:t>
      </w:r>
      <w:proofErr w:type="spellStart"/>
      <w:r w:rsidRPr="00346DA4">
        <w:rPr>
          <w:b/>
          <w:color w:val="0070C0"/>
        </w:rPr>
        <w:t>oidodo</w:t>
      </w:r>
      <w:proofErr w:type="spellEnd"/>
      <w:r w:rsidRPr="00346DA4">
        <w:rPr>
          <w:b/>
          <w:color w:val="0070C0"/>
        </w:rPr>
        <w:t xml:space="preserve"> ni visto deja sin poner X</w:t>
      </w:r>
    </w:p>
    <w:p w:rsidR="00346DA4" w:rsidRDefault="00346DA4" w:rsidP="00346DA4">
      <w:pPr>
        <w:jc w:val="center"/>
        <w:rPr>
          <w:b/>
          <w:color w:val="0070C0"/>
        </w:rPr>
      </w:pPr>
    </w:p>
    <w:tbl>
      <w:tblPr>
        <w:tblStyle w:val="Tablaconcuadrcula"/>
        <w:tblW w:w="0" w:type="auto"/>
        <w:tblLook w:val="04A0"/>
      </w:tblPr>
      <w:tblGrid>
        <w:gridCol w:w="7338"/>
        <w:gridCol w:w="1134"/>
        <w:gridCol w:w="992"/>
        <w:gridCol w:w="1142"/>
      </w:tblGrid>
      <w:tr w:rsidR="00346DA4" w:rsidTr="00346DA4">
        <w:tc>
          <w:tcPr>
            <w:tcW w:w="7338" w:type="dxa"/>
          </w:tcPr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Hecho o realidad</w:t>
            </w:r>
          </w:p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Que tiene que ver con justicia o injusticia</w:t>
            </w:r>
          </w:p>
        </w:tc>
        <w:tc>
          <w:tcPr>
            <w:tcW w:w="1134" w:type="dxa"/>
          </w:tcPr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YO</w:t>
            </w:r>
          </w:p>
        </w:tc>
        <w:tc>
          <w:tcPr>
            <w:tcW w:w="992" w:type="dxa"/>
          </w:tcPr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Otros</w:t>
            </w:r>
          </w:p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cerca</w:t>
            </w:r>
          </w:p>
        </w:tc>
        <w:tc>
          <w:tcPr>
            <w:tcW w:w="1142" w:type="dxa"/>
          </w:tcPr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Otros lejos</w:t>
            </w:r>
          </w:p>
        </w:tc>
      </w:tr>
      <w:tr w:rsidR="00346DA4" w:rsidTr="00346DA4">
        <w:tc>
          <w:tcPr>
            <w:tcW w:w="7338" w:type="dxa"/>
          </w:tcPr>
          <w:p w:rsidR="00346DA4" w:rsidRDefault="00346DA4" w:rsidP="009A4A88">
            <w:pPr>
              <w:rPr>
                <w:b/>
                <w:color w:val="0070C0"/>
              </w:rPr>
            </w:pP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346DA4"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 xml:space="preserve">   Per</w:t>
            </w:r>
            <w:r w:rsidR="005B0A55">
              <w:rPr>
                <w:b/>
                <w:color w:val="0070C0"/>
              </w:rPr>
              <w:t>s</w:t>
            </w:r>
            <w:r>
              <w:rPr>
                <w:b/>
                <w:color w:val="0070C0"/>
              </w:rPr>
              <w:t>o</w:t>
            </w:r>
            <w:r w:rsidR="005B0A55">
              <w:rPr>
                <w:b/>
                <w:color w:val="0070C0"/>
              </w:rPr>
              <w:t>na</w:t>
            </w:r>
            <w:r>
              <w:rPr>
                <w:b/>
                <w:color w:val="0070C0"/>
              </w:rPr>
              <w:t xml:space="preserve"> mayor que est</w:t>
            </w:r>
            <w:r w:rsidR="005B0A55">
              <w:rPr>
                <w:b/>
                <w:color w:val="0070C0"/>
              </w:rPr>
              <w:t>é</w:t>
            </w:r>
            <w:r>
              <w:rPr>
                <w:b/>
                <w:color w:val="0070C0"/>
              </w:rPr>
              <w:t xml:space="preserve"> en situación de paro o desempleo</w:t>
            </w: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346DA4"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 xml:space="preserve">   Enfermo que no tienen nadie que le visite o atienda</w:t>
            </w: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346DA4">
              <w:rPr>
                <w:b/>
                <w:color w:val="0070C0"/>
              </w:rPr>
              <w:t>3</w:t>
            </w:r>
            <w:r>
              <w:rPr>
                <w:b/>
                <w:color w:val="0070C0"/>
              </w:rPr>
              <w:t xml:space="preserve">   Trabajador que ha sido despedido de una oficina o fábrica</w:t>
            </w:r>
          </w:p>
          <w:p w:rsidR="009A4A88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346DA4">
              <w:rPr>
                <w:b/>
                <w:color w:val="0070C0"/>
              </w:rPr>
              <w:t>4</w:t>
            </w:r>
            <w:r>
              <w:rPr>
                <w:b/>
                <w:color w:val="0070C0"/>
              </w:rPr>
              <w:t xml:space="preserve">   Emigrante que busca trabajo</w:t>
            </w:r>
            <w:r w:rsidR="005B0A55">
              <w:rPr>
                <w:b/>
                <w:color w:val="0070C0"/>
              </w:rPr>
              <w:t xml:space="preserve"> y no lo encuentra</w:t>
            </w: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346DA4">
              <w:rPr>
                <w:b/>
                <w:color w:val="0070C0"/>
              </w:rPr>
              <w:t>5</w:t>
            </w:r>
            <w:r>
              <w:rPr>
                <w:b/>
                <w:color w:val="0070C0"/>
              </w:rPr>
              <w:t xml:space="preserve">   Mendigo que pide limosna por la calle</w:t>
            </w: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346DA4">
              <w:rPr>
                <w:b/>
                <w:color w:val="0070C0"/>
              </w:rPr>
              <w:t>6</w:t>
            </w:r>
            <w:r>
              <w:rPr>
                <w:b/>
                <w:color w:val="0070C0"/>
              </w:rPr>
              <w:t xml:space="preserve">   Familiar o conocido que no tiene vivienda segura  </w:t>
            </w:r>
          </w:p>
          <w:p w:rsidR="009A4A88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</w:t>
            </w:r>
            <w:r w:rsidR="00346DA4">
              <w:rPr>
                <w:b/>
                <w:color w:val="0070C0"/>
              </w:rPr>
              <w:t>7</w:t>
            </w:r>
            <w:r>
              <w:rPr>
                <w:b/>
                <w:color w:val="0070C0"/>
              </w:rPr>
              <w:t xml:space="preserve">   Persona que ha sido víctima de un robo</w:t>
            </w: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</w:t>
            </w:r>
            <w:r w:rsidR="00346DA4">
              <w:rPr>
                <w:b/>
                <w:color w:val="0070C0"/>
              </w:rPr>
              <w:t>8</w:t>
            </w:r>
            <w:r>
              <w:rPr>
                <w:b/>
                <w:color w:val="0070C0"/>
              </w:rPr>
              <w:t xml:space="preserve">   Persona que se queja de no tener dinero para medicinas caras</w:t>
            </w:r>
          </w:p>
          <w:p w:rsidR="00346DA4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</w:t>
            </w:r>
            <w:r w:rsidR="00346DA4"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 xml:space="preserve">   Persona entregada a la bebida o a la droga</w:t>
            </w:r>
          </w:p>
          <w:p w:rsidR="009A4A88" w:rsidRDefault="009A4A88" w:rsidP="009A4A88">
            <w:pPr>
              <w:rPr>
                <w:b/>
                <w:color w:val="0070C0"/>
              </w:rPr>
            </w:pP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  <w:r w:rsidR="009A4A88">
              <w:rPr>
                <w:b/>
                <w:color w:val="0070C0"/>
              </w:rPr>
              <w:t xml:space="preserve">   Compañero  o compañera que no tiene amigos</w:t>
            </w: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  <w:r w:rsidR="009A4A88">
              <w:rPr>
                <w:b/>
                <w:color w:val="0070C0"/>
              </w:rPr>
              <w:t xml:space="preserve">   Estudiante que es objeto de acoso o de trato cruel </w:t>
            </w: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  <w:r w:rsidR="009A4A88">
              <w:rPr>
                <w:b/>
                <w:color w:val="0070C0"/>
              </w:rPr>
              <w:t xml:space="preserve">   Alguien explotado en el trabajo que no se le paga</w:t>
            </w:r>
          </w:p>
          <w:p w:rsidR="009A4A88" w:rsidRDefault="009A4A88" w:rsidP="009A4A88">
            <w:pPr>
              <w:rPr>
                <w:b/>
                <w:color w:val="0070C0"/>
              </w:rPr>
            </w:pPr>
          </w:p>
          <w:p w:rsidR="009A4A88" w:rsidRDefault="009A4A88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13   </w:t>
            </w:r>
            <w:r w:rsidR="00963727">
              <w:rPr>
                <w:b/>
                <w:color w:val="0070C0"/>
              </w:rPr>
              <w:t>Discriminación racial. Desprecio por ser negro o extranjero</w:t>
            </w: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</w:t>
            </w:r>
            <w:r w:rsidR="00963727">
              <w:rPr>
                <w:b/>
                <w:color w:val="0070C0"/>
              </w:rPr>
              <w:t xml:space="preserve">   Negación de trabajo por ser mujer o trabajo con paga inferior</w:t>
            </w: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  <w:r w:rsidR="00963727">
              <w:rPr>
                <w:b/>
                <w:color w:val="0070C0"/>
              </w:rPr>
              <w:t xml:space="preserve">   Criado</w:t>
            </w:r>
            <w:r w:rsidR="005B0A55">
              <w:rPr>
                <w:b/>
                <w:color w:val="0070C0"/>
              </w:rPr>
              <w:t>/</w:t>
            </w:r>
            <w:r w:rsidR="00963727">
              <w:rPr>
                <w:b/>
                <w:color w:val="0070C0"/>
              </w:rPr>
              <w:t>a de una casa sin estar asegurado</w:t>
            </w:r>
            <w:r w:rsidR="005B0A55">
              <w:rPr>
                <w:b/>
                <w:color w:val="0070C0"/>
              </w:rPr>
              <w:t>/a</w:t>
            </w:r>
          </w:p>
          <w:p w:rsidR="009A4A88" w:rsidRDefault="009A4A88" w:rsidP="009A4A88">
            <w:pPr>
              <w:rPr>
                <w:b/>
                <w:color w:val="0070C0"/>
              </w:rPr>
            </w:pP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  <w:r w:rsidR="00963727">
              <w:rPr>
                <w:b/>
                <w:color w:val="0070C0"/>
              </w:rPr>
              <w:t xml:space="preserve">   No poder ir al médico por no tener seguro</w:t>
            </w: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  <w:r w:rsidR="00963727">
              <w:rPr>
                <w:b/>
                <w:color w:val="0070C0"/>
              </w:rPr>
              <w:t xml:space="preserve">   Insultos o palabras despectivas por ser persona desconocida</w:t>
            </w: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</w:t>
            </w:r>
            <w:r w:rsidR="00963727">
              <w:rPr>
                <w:b/>
                <w:color w:val="0070C0"/>
              </w:rPr>
              <w:t xml:space="preserve">   Acusar sin pruebas de un robo o delito</w:t>
            </w:r>
          </w:p>
          <w:p w:rsidR="009A4A88" w:rsidRDefault="009A4A88" w:rsidP="009A4A88">
            <w:pPr>
              <w:rPr>
                <w:b/>
                <w:color w:val="0070C0"/>
              </w:rPr>
            </w:pPr>
          </w:p>
          <w:p w:rsidR="00346DA4" w:rsidRDefault="00346DA4" w:rsidP="009A4A8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  <w:r w:rsidR="00963727">
              <w:rPr>
                <w:b/>
                <w:color w:val="0070C0"/>
              </w:rPr>
              <w:t xml:space="preserve">   Trato degradante a un anciano o disminuido en  movimientos</w:t>
            </w:r>
          </w:p>
          <w:p w:rsidR="00346DA4" w:rsidRDefault="00346DA4" w:rsidP="009637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  <w:r w:rsidR="00963727">
              <w:rPr>
                <w:b/>
                <w:color w:val="0070C0"/>
              </w:rPr>
              <w:t xml:space="preserve">   Trato degradante por ser niño </w:t>
            </w:r>
            <w:proofErr w:type="spellStart"/>
            <w:r w:rsidR="00963727">
              <w:rPr>
                <w:b/>
                <w:color w:val="0070C0"/>
              </w:rPr>
              <w:t>malvestido</w:t>
            </w:r>
            <w:proofErr w:type="spellEnd"/>
            <w:r w:rsidR="00963727">
              <w:rPr>
                <w:b/>
                <w:color w:val="0070C0"/>
              </w:rPr>
              <w:t xml:space="preserve"> o aparente pobre</w:t>
            </w:r>
          </w:p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134" w:type="dxa"/>
          </w:tcPr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92" w:type="dxa"/>
          </w:tcPr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142" w:type="dxa"/>
          </w:tcPr>
          <w:p w:rsidR="00346DA4" w:rsidRDefault="00346DA4" w:rsidP="00346DA4">
            <w:pPr>
              <w:jc w:val="center"/>
              <w:rPr>
                <w:b/>
                <w:color w:val="0070C0"/>
              </w:rPr>
            </w:pPr>
          </w:p>
        </w:tc>
      </w:tr>
    </w:tbl>
    <w:p w:rsidR="00346DA4" w:rsidRDefault="00346DA4" w:rsidP="00346DA4">
      <w:pPr>
        <w:jc w:val="center"/>
        <w:rPr>
          <w:b/>
          <w:color w:val="0070C0"/>
        </w:rPr>
      </w:pPr>
    </w:p>
    <w:p w:rsidR="00346DA4" w:rsidRPr="0028296F" w:rsidRDefault="005B0A55" w:rsidP="005B0A55">
      <w:pPr>
        <w:jc w:val="center"/>
        <w:rPr>
          <w:b/>
        </w:rPr>
      </w:pPr>
      <w:r w:rsidRPr="005B0A55">
        <w:rPr>
          <w:b/>
          <w:color w:val="0070C0"/>
        </w:rPr>
        <w:drawing>
          <wp:inline distT="0" distB="0" distL="0" distR="0">
            <wp:extent cx="1400175" cy="1643805"/>
            <wp:effectExtent l="19050" t="0" r="9525" b="0"/>
            <wp:docPr id="5" name="irc_mi" descr="http://www.wikisaber.es/uploadedImages/Recursos/Especial_Pensamiento/Distorsiones_FalaciaJust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kisaber.es/uploadedImages/Recursos/Especial_Pensamiento/Distorsiones_FalaciaJustic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727">
        <w:rPr>
          <w:noProof/>
        </w:rPr>
        <w:drawing>
          <wp:inline distT="0" distB="0" distL="0" distR="0">
            <wp:extent cx="2381250" cy="1447800"/>
            <wp:effectExtent l="19050" t="0" r="0" b="0"/>
            <wp:docPr id="11" name="irc_mi" descr="http://uepompeya.com/joomla/images/403127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epompeya.com/joomla/images/40312722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727">
        <w:rPr>
          <w:noProof/>
        </w:rPr>
        <w:drawing>
          <wp:inline distT="0" distB="0" distL="0" distR="0">
            <wp:extent cx="2543175" cy="1729359"/>
            <wp:effectExtent l="19050" t="0" r="9525" b="0"/>
            <wp:docPr id="14" name="irc_mi" descr="http://www.actiweb.es/julian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ctiweb.es/julian/imagen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2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DA4" w:rsidRPr="0028296F" w:rsidSect="001A1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131759"/>
    <w:rsid w:val="00151A2E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48A9"/>
    <w:rsid w:val="00244701"/>
    <w:rsid w:val="00257D28"/>
    <w:rsid w:val="00275B8C"/>
    <w:rsid w:val="0028296F"/>
    <w:rsid w:val="002A1FB2"/>
    <w:rsid w:val="002D58B4"/>
    <w:rsid w:val="002D5929"/>
    <w:rsid w:val="002F63D1"/>
    <w:rsid w:val="00312AE6"/>
    <w:rsid w:val="00346DA4"/>
    <w:rsid w:val="00365A58"/>
    <w:rsid w:val="00381057"/>
    <w:rsid w:val="003823D0"/>
    <w:rsid w:val="00397FDC"/>
    <w:rsid w:val="003B00B3"/>
    <w:rsid w:val="003B1330"/>
    <w:rsid w:val="003C62F4"/>
    <w:rsid w:val="00415498"/>
    <w:rsid w:val="004154FE"/>
    <w:rsid w:val="00425A9F"/>
    <w:rsid w:val="00444BCB"/>
    <w:rsid w:val="004515C7"/>
    <w:rsid w:val="00453B03"/>
    <w:rsid w:val="00470D9F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B0A55"/>
    <w:rsid w:val="005C2CAB"/>
    <w:rsid w:val="00604742"/>
    <w:rsid w:val="0062125D"/>
    <w:rsid w:val="006300FF"/>
    <w:rsid w:val="006417DB"/>
    <w:rsid w:val="00642F7A"/>
    <w:rsid w:val="006569D3"/>
    <w:rsid w:val="00671510"/>
    <w:rsid w:val="006A0F30"/>
    <w:rsid w:val="006A110E"/>
    <w:rsid w:val="006B057E"/>
    <w:rsid w:val="006D37BC"/>
    <w:rsid w:val="006F2B54"/>
    <w:rsid w:val="006F42C9"/>
    <w:rsid w:val="00705128"/>
    <w:rsid w:val="00710373"/>
    <w:rsid w:val="00714886"/>
    <w:rsid w:val="00715890"/>
    <w:rsid w:val="007563DA"/>
    <w:rsid w:val="007C2603"/>
    <w:rsid w:val="007E3C2D"/>
    <w:rsid w:val="00811DF0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12D1B"/>
    <w:rsid w:val="00932F3D"/>
    <w:rsid w:val="0094729A"/>
    <w:rsid w:val="00957E74"/>
    <w:rsid w:val="00963727"/>
    <w:rsid w:val="009672FE"/>
    <w:rsid w:val="0097418F"/>
    <w:rsid w:val="00977BF9"/>
    <w:rsid w:val="009A4A88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70A46"/>
    <w:rsid w:val="00B81AED"/>
    <w:rsid w:val="00B86854"/>
    <w:rsid w:val="00B92370"/>
    <w:rsid w:val="00BB26AA"/>
    <w:rsid w:val="00BC4A86"/>
    <w:rsid w:val="00C07869"/>
    <w:rsid w:val="00C157BE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DF6AF9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image">
    <w:name w:val="image"/>
    <w:basedOn w:val="Fuentedeprrafopredeter"/>
    <w:rsid w:val="00346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pax-es.org/images/200000796-1130b122b3/pobreza-Guatemala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pax-es.org/products/pobreza-y-nueva-evangelizacion/?utm_source=copy&amp;utm_medium=paste&amp;utm_campaign=copypaste&amp;utm_content=http%3A%2F%2Fwww.juspax-es.org%2Fproducts%2Fpobreza-y-nueva-evangelizacion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2015-07-03T08:40:00Z</cp:lastPrinted>
  <dcterms:created xsi:type="dcterms:W3CDTF">2015-07-12T06:14:00Z</dcterms:created>
  <dcterms:modified xsi:type="dcterms:W3CDTF">2015-07-12T06:14:00Z</dcterms:modified>
</cp:coreProperties>
</file>