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D2" w:rsidRDefault="00132C6A" w:rsidP="00F419D2">
      <w:pPr>
        <w:jc w:val="center"/>
        <w:rPr>
          <w:color w:val="FF0000"/>
          <w:sz w:val="40"/>
          <w:szCs w:val="40"/>
        </w:rPr>
      </w:pPr>
      <w:r>
        <w:rPr>
          <w:color w:val="FF0000"/>
          <w:sz w:val="40"/>
          <w:szCs w:val="40"/>
        </w:rPr>
        <w:t>T</w:t>
      </w:r>
      <w:r w:rsidR="00F419D2">
        <w:rPr>
          <w:color w:val="FF0000"/>
          <w:sz w:val="40"/>
          <w:szCs w:val="40"/>
        </w:rPr>
        <w:t xml:space="preserve">ahitiano </w:t>
      </w:r>
      <w:proofErr w:type="spellStart"/>
      <w:r w:rsidR="00F419D2">
        <w:rPr>
          <w:color w:val="FF0000"/>
          <w:sz w:val="40"/>
          <w:szCs w:val="40"/>
        </w:rPr>
        <w:t>Tahiti</w:t>
      </w:r>
      <w:proofErr w:type="spellEnd"/>
    </w:p>
    <w:p w:rsidR="00F419D2" w:rsidRDefault="00F419D2" w:rsidP="00F419D2">
      <w:pPr>
        <w:jc w:val="center"/>
        <w:rPr>
          <w:color w:val="FF0000"/>
          <w:sz w:val="40"/>
          <w:szCs w:val="40"/>
        </w:rPr>
      </w:pPr>
    </w:p>
    <w:p w:rsidR="00F419D2" w:rsidRDefault="00702D85" w:rsidP="00F419D2">
      <w:pPr>
        <w:jc w:val="center"/>
        <w:rPr>
          <w:color w:val="FF0000"/>
          <w:sz w:val="40"/>
          <w:szCs w:val="40"/>
        </w:rPr>
      </w:pPr>
      <w:r>
        <w:rPr>
          <w:noProof/>
          <w:color w:val="FF0000"/>
          <w:sz w:val="40"/>
          <w:szCs w:val="40"/>
        </w:rPr>
        <w:drawing>
          <wp:inline distT="0" distB="0" distL="0" distR="0">
            <wp:extent cx="5762672" cy="3495675"/>
            <wp:effectExtent l="19050" t="0" r="9478"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l="8599" t="41231" r="43675" b="21082"/>
                    <a:stretch>
                      <a:fillRect/>
                    </a:stretch>
                  </pic:blipFill>
                  <pic:spPr bwMode="auto">
                    <a:xfrm>
                      <a:off x="0" y="0"/>
                      <a:ext cx="5762672" cy="3495675"/>
                    </a:xfrm>
                    <a:prstGeom prst="rect">
                      <a:avLst/>
                    </a:prstGeom>
                    <a:noFill/>
                    <a:ln w="9525">
                      <a:noFill/>
                      <a:miter lim="800000"/>
                      <a:headEnd/>
                      <a:tailEnd/>
                    </a:ln>
                  </pic:spPr>
                </pic:pic>
              </a:graphicData>
            </a:graphic>
          </wp:inline>
        </w:drawing>
      </w:r>
    </w:p>
    <w:p w:rsidR="00702D85" w:rsidRDefault="00702D85" w:rsidP="00F419D2">
      <w:pPr>
        <w:jc w:val="center"/>
        <w:rPr>
          <w:color w:val="FF0000"/>
          <w:sz w:val="40"/>
          <w:szCs w:val="40"/>
        </w:rPr>
      </w:pPr>
      <w:r>
        <w:rPr>
          <w:noProof/>
        </w:rPr>
        <w:drawing>
          <wp:inline distT="0" distB="0" distL="0" distR="0">
            <wp:extent cx="3305175" cy="2324519"/>
            <wp:effectExtent l="19050" t="0" r="9525" b="0"/>
            <wp:docPr id="11" name="Imagen 11" descr="Resultado de imagen de Tahiti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Tahiti idioma"/>
                    <pic:cNvPicPr>
                      <a:picLocks noChangeAspect="1" noChangeArrowheads="1"/>
                    </pic:cNvPicPr>
                  </pic:nvPicPr>
                  <pic:blipFill>
                    <a:blip r:embed="rId7"/>
                    <a:srcRect/>
                    <a:stretch>
                      <a:fillRect/>
                    </a:stretch>
                  </pic:blipFill>
                  <pic:spPr bwMode="auto">
                    <a:xfrm>
                      <a:off x="0" y="0"/>
                      <a:ext cx="3305175" cy="2324519"/>
                    </a:xfrm>
                    <a:prstGeom prst="rect">
                      <a:avLst/>
                    </a:prstGeom>
                    <a:noFill/>
                    <a:ln w="9525">
                      <a:noFill/>
                      <a:miter lim="800000"/>
                      <a:headEnd/>
                      <a:tailEnd/>
                    </a:ln>
                  </pic:spPr>
                </pic:pic>
              </a:graphicData>
            </a:graphic>
          </wp:inline>
        </w:drawing>
      </w:r>
      <w:r>
        <w:rPr>
          <w:noProof/>
        </w:rPr>
        <w:drawing>
          <wp:inline distT="0" distB="0" distL="0" distR="0">
            <wp:extent cx="3162300" cy="2304946"/>
            <wp:effectExtent l="19050" t="0" r="0" b="0"/>
            <wp:docPr id="14" name="Imagen 14" descr="Resultado de imagen de Tahiti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Tahiti idioma"/>
                    <pic:cNvPicPr>
                      <a:picLocks noChangeAspect="1" noChangeArrowheads="1"/>
                    </pic:cNvPicPr>
                  </pic:nvPicPr>
                  <pic:blipFill>
                    <a:blip r:embed="rId8"/>
                    <a:srcRect/>
                    <a:stretch>
                      <a:fillRect/>
                    </a:stretch>
                  </pic:blipFill>
                  <pic:spPr bwMode="auto">
                    <a:xfrm>
                      <a:off x="0" y="0"/>
                      <a:ext cx="3162300" cy="2304946"/>
                    </a:xfrm>
                    <a:prstGeom prst="rect">
                      <a:avLst/>
                    </a:prstGeom>
                    <a:noFill/>
                    <a:ln w="9525">
                      <a:noFill/>
                      <a:miter lim="800000"/>
                      <a:headEnd/>
                      <a:tailEnd/>
                    </a:ln>
                  </pic:spPr>
                </pic:pic>
              </a:graphicData>
            </a:graphic>
          </wp:inline>
        </w:drawing>
      </w:r>
    </w:p>
    <w:p w:rsidR="00702D85" w:rsidRDefault="00702D85" w:rsidP="00702D85">
      <w:pPr>
        <w:pStyle w:val="Ttulo1"/>
        <w:jc w:val="center"/>
        <w:rPr>
          <w:rFonts w:ascii="Arial" w:hAnsi="Arial" w:cs="Arial"/>
          <w:sz w:val="24"/>
          <w:szCs w:val="24"/>
        </w:rPr>
      </w:pPr>
      <w:r>
        <w:rPr>
          <w:noProof/>
        </w:rPr>
        <w:drawing>
          <wp:inline distT="0" distB="0" distL="0" distR="0">
            <wp:extent cx="4810125" cy="2760297"/>
            <wp:effectExtent l="19050" t="0" r="9525" b="0"/>
            <wp:docPr id="20" name="Imagen 20" descr="Resultado de imagen de Tahiti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Tahiti idioma"/>
                    <pic:cNvPicPr>
                      <a:picLocks noChangeAspect="1" noChangeArrowheads="1"/>
                    </pic:cNvPicPr>
                  </pic:nvPicPr>
                  <pic:blipFill>
                    <a:blip r:embed="rId9"/>
                    <a:srcRect/>
                    <a:stretch>
                      <a:fillRect/>
                    </a:stretch>
                  </pic:blipFill>
                  <pic:spPr bwMode="auto">
                    <a:xfrm>
                      <a:off x="0" y="0"/>
                      <a:ext cx="4810125" cy="2760297"/>
                    </a:xfrm>
                    <a:prstGeom prst="rect">
                      <a:avLst/>
                    </a:prstGeom>
                    <a:noFill/>
                    <a:ln w="9525">
                      <a:noFill/>
                      <a:miter lim="800000"/>
                      <a:headEnd/>
                      <a:tailEnd/>
                    </a:ln>
                  </pic:spPr>
                </pic:pic>
              </a:graphicData>
            </a:graphic>
          </wp:inline>
        </w:drawing>
      </w:r>
    </w:p>
    <w:p w:rsidR="00702D85" w:rsidRDefault="00702D85" w:rsidP="00702D85">
      <w:pPr>
        <w:pStyle w:val="Ttulo1"/>
        <w:rPr>
          <w:rFonts w:ascii="Arial" w:hAnsi="Arial" w:cs="Arial"/>
          <w:sz w:val="24"/>
          <w:szCs w:val="24"/>
        </w:rPr>
      </w:pPr>
    </w:p>
    <w:p w:rsidR="00702D85" w:rsidRDefault="00702D85" w:rsidP="00702D85">
      <w:pPr>
        <w:pStyle w:val="Ttulo1"/>
        <w:rPr>
          <w:rFonts w:ascii="Arial" w:hAnsi="Arial" w:cs="Arial"/>
          <w:sz w:val="24"/>
          <w:szCs w:val="24"/>
        </w:rPr>
      </w:pPr>
    </w:p>
    <w:p w:rsidR="00702D85" w:rsidRDefault="00702D85" w:rsidP="00702D85">
      <w:pPr>
        <w:pStyle w:val="Ttulo1"/>
        <w:rPr>
          <w:rFonts w:ascii="Arial" w:hAnsi="Arial" w:cs="Arial"/>
          <w:sz w:val="24"/>
          <w:szCs w:val="24"/>
        </w:rPr>
      </w:pPr>
    </w:p>
    <w:p w:rsidR="00702D85" w:rsidRDefault="00702D85" w:rsidP="00702D85">
      <w:pPr>
        <w:pStyle w:val="Ttulo1"/>
        <w:rPr>
          <w:rFonts w:ascii="Arial" w:hAnsi="Arial" w:cs="Arial"/>
          <w:sz w:val="24"/>
          <w:szCs w:val="24"/>
        </w:rPr>
      </w:pPr>
    </w:p>
    <w:p w:rsidR="00702D85" w:rsidRDefault="00702D85" w:rsidP="00702D85">
      <w:pPr>
        <w:pStyle w:val="Ttulo1"/>
        <w:rPr>
          <w:rFonts w:ascii="Arial" w:hAnsi="Arial" w:cs="Arial"/>
          <w:sz w:val="24"/>
          <w:szCs w:val="24"/>
        </w:rPr>
      </w:pPr>
    </w:p>
    <w:p w:rsidR="00702D85" w:rsidRDefault="00702D85" w:rsidP="00702D85">
      <w:pPr>
        <w:pStyle w:val="Ttulo1"/>
        <w:jc w:val="center"/>
        <w:rPr>
          <w:rFonts w:ascii="Arial" w:hAnsi="Arial" w:cs="Arial"/>
          <w:sz w:val="24"/>
          <w:szCs w:val="24"/>
        </w:rPr>
      </w:pPr>
      <w:r>
        <w:rPr>
          <w:rFonts w:ascii="Arial" w:hAnsi="Arial" w:cs="Arial"/>
          <w:noProof/>
          <w:sz w:val="24"/>
          <w:szCs w:val="24"/>
        </w:rPr>
        <w:drawing>
          <wp:inline distT="0" distB="0" distL="0" distR="0">
            <wp:extent cx="4689735" cy="7731726"/>
            <wp:effectExtent l="19050" t="0" r="0" b="0"/>
            <wp:docPr id="23" name="Imagen 23" descr="C:\Users\PECHI\Desktop\img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CHI\Desktop\img945.jpg"/>
                    <pic:cNvPicPr>
                      <a:picLocks noChangeAspect="1" noChangeArrowheads="1"/>
                    </pic:cNvPicPr>
                  </pic:nvPicPr>
                  <pic:blipFill>
                    <a:blip r:embed="rId10"/>
                    <a:srcRect/>
                    <a:stretch>
                      <a:fillRect/>
                    </a:stretch>
                  </pic:blipFill>
                  <pic:spPr bwMode="auto">
                    <a:xfrm>
                      <a:off x="0" y="0"/>
                      <a:ext cx="4689735" cy="7731726"/>
                    </a:xfrm>
                    <a:prstGeom prst="rect">
                      <a:avLst/>
                    </a:prstGeom>
                    <a:noFill/>
                    <a:ln w="9525">
                      <a:noFill/>
                      <a:miter lim="800000"/>
                      <a:headEnd/>
                      <a:tailEnd/>
                    </a:ln>
                  </pic:spPr>
                </pic:pic>
              </a:graphicData>
            </a:graphic>
          </wp:inline>
        </w:drawing>
      </w:r>
    </w:p>
    <w:p w:rsidR="00702D85" w:rsidRDefault="00702D85" w:rsidP="00702D85">
      <w:pPr>
        <w:pStyle w:val="Ttulo1"/>
        <w:jc w:val="center"/>
        <w:rPr>
          <w:rFonts w:ascii="Arial" w:hAnsi="Arial" w:cs="Arial"/>
          <w:sz w:val="24"/>
          <w:szCs w:val="24"/>
        </w:rPr>
      </w:pPr>
    </w:p>
    <w:p w:rsidR="00702D85" w:rsidRDefault="00702D85" w:rsidP="00702D85">
      <w:pPr>
        <w:pStyle w:val="Ttulo1"/>
        <w:jc w:val="center"/>
        <w:rPr>
          <w:rFonts w:ascii="Arial" w:hAnsi="Arial" w:cs="Arial"/>
          <w:sz w:val="24"/>
          <w:szCs w:val="24"/>
        </w:rPr>
      </w:pPr>
    </w:p>
    <w:p w:rsidR="004E7E54" w:rsidRDefault="004E7E54" w:rsidP="00702D85">
      <w:pPr>
        <w:pStyle w:val="Ttulo1"/>
        <w:jc w:val="center"/>
      </w:pPr>
      <w:r w:rsidRPr="00702D85">
        <w:rPr>
          <w:rFonts w:ascii="Arial" w:hAnsi="Arial" w:cs="Arial"/>
          <w:sz w:val="24"/>
          <w:szCs w:val="24"/>
        </w:rPr>
        <w:t>El idioma tahitiano (</w:t>
      </w:r>
      <w:proofErr w:type="spellStart"/>
      <w:r w:rsidR="00FE7F35" w:rsidRPr="00702D85">
        <w:rPr>
          <w:rFonts w:ascii="Arial" w:hAnsi="Arial" w:cs="Arial"/>
          <w:sz w:val="24"/>
          <w:szCs w:val="24"/>
        </w:rPr>
        <w:fldChar w:fldCharType="begin"/>
      </w:r>
      <w:r w:rsidRPr="00702D85">
        <w:rPr>
          <w:rFonts w:ascii="Arial" w:hAnsi="Arial" w:cs="Arial"/>
          <w:sz w:val="24"/>
          <w:szCs w:val="24"/>
        </w:rPr>
        <w:instrText xml:space="preserve"> HYPERLINK "https://es.wikipedia.org/wiki/Autoglot%C3%B3nimo" \o "Autoglotónimo" </w:instrText>
      </w:r>
      <w:r w:rsidR="00FE7F35" w:rsidRPr="00702D85">
        <w:rPr>
          <w:rFonts w:ascii="Arial" w:hAnsi="Arial" w:cs="Arial"/>
          <w:sz w:val="24"/>
          <w:szCs w:val="24"/>
        </w:rPr>
        <w:fldChar w:fldCharType="separate"/>
      </w:r>
      <w:r w:rsidRPr="00702D85">
        <w:rPr>
          <w:rStyle w:val="Hipervnculo"/>
          <w:rFonts w:ascii="Arial" w:hAnsi="Arial" w:cs="Arial"/>
          <w:sz w:val="24"/>
          <w:szCs w:val="24"/>
        </w:rPr>
        <w:t>autoglotónimo</w:t>
      </w:r>
      <w:proofErr w:type="spellEnd"/>
      <w:r w:rsidR="00FE7F35" w:rsidRPr="00702D85">
        <w:rPr>
          <w:rFonts w:ascii="Arial" w:hAnsi="Arial" w:cs="Arial"/>
          <w:sz w:val="24"/>
          <w:szCs w:val="24"/>
        </w:rPr>
        <w:fldChar w:fldCharType="end"/>
      </w:r>
      <w:r w:rsidRPr="00702D85">
        <w:rPr>
          <w:rFonts w:ascii="Arial" w:hAnsi="Arial" w:cs="Arial"/>
          <w:sz w:val="24"/>
          <w:szCs w:val="24"/>
        </w:rPr>
        <w:t xml:space="preserve"> </w:t>
      </w:r>
      <w:r w:rsidRPr="00702D85">
        <w:rPr>
          <w:rFonts w:ascii="Arial" w:hAnsi="Arial" w:cs="Arial"/>
          <w:i/>
          <w:iCs/>
          <w:sz w:val="24"/>
          <w:szCs w:val="24"/>
        </w:rPr>
        <w:t xml:space="preserve">reo </w:t>
      </w:r>
      <w:proofErr w:type="spellStart"/>
      <w:r w:rsidRPr="00702D85">
        <w:rPr>
          <w:rFonts w:ascii="Arial" w:hAnsi="Arial" w:cs="Arial"/>
          <w:i/>
          <w:iCs/>
          <w:sz w:val="24"/>
          <w:szCs w:val="24"/>
        </w:rPr>
        <w:t>Tahiti</w:t>
      </w:r>
      <w:proofErr w:type="spellEnd"/>
      <w:r w:rsidRPr="00702D85">
        <w:rPr>
          <w:rFonts w:ascii="Arial" w:hAnsi="Arial" w:cs="Arial"/>
          <w:sz w:val="24"/>
          <w:szCs w:val="24"/>
        </w:rPr>
        <w:t xml:space="preserve">) es una </w:t>
      </w:r>
      <w:hyperlink r:id="rId11" w:tooltip="Lenguas austronesias" w:history="1">
        <w:r w:rsidRPr="00702D85">
          <w:rPr>
            <w:rStyle w:val="Hipervnculo"/>
            <w:rFonts w:ascii="Arial" w:hAnsi="Arial" w:cs="Arial"/>
            <w:sz w:val="24"/>
            <w:szCs w:val="24"/>
          </w:rPr>
          <w:t xml:space="preserve">lengua </w:t>
        </w:r>
        <w:proofErr w:type="spellStart"/>
        <w:r w:rsidRPr="00702D85">
          <w:rPr>
            <w:rStyle w:val="Hipervnculo"/>
            <w:rFonts w:ascii="Arial" w:hAnsi="Arial" w:cs="Arial"/>
            <w:sz w:val="24"/>
            <w:szCs w:val="24"/>
          </w:rPr>
          <w:t>austronesia</w:t>
        </w:r>
        <w:proofErr w:type="spellEnd"/>
      </w:hyperlink>
      <w:r w:rsidRPr="00702D85">
        <w:rPr>
          <w:rFonts w:ascii="Arial" w:hAnsi="Arial" w:cs="Arial"/>
          <w:sz w:val="24"/>
          <w:szCs w:val="24"/>
        </w:rPr>
        <w:t xml:space="preserve"> dentro del grupo </w:t>
      </w:r>
      <w:hyperlink r:id="rId12" w:tooltip="Lenguas malayo-polinesias orientales" w:history="1">
        <w:r w:rsidRPr="00702D85">
          <w:rPr>
            <w:rStyle w:val="Hipervnculo"/>
            <w:rFonts w:ascii="Arial" w:hAnsi="Arial" w:cs="Arial"/>
            <w:sz w:val="24"/>
            <w:szCs w:val="24"/>
          </w:rPr>
          <w:t>malayo-polinesio oriental</w:t>
        </w:r>
      </w:hyperlink>
      <w:r w:rsidRPr="00702D85">
        <w:rPr>
          <w:rFonts w:ascii="Arial" w:hAnsi="Arial" w:cs="Arial"/>
          <w:sz w:val="24"/>
          <w:szCs w:val="24"/>
        </w:rPr>
        <w:t xml:space="preserve">, hablada en la isla de </w:t>
      </w:r>
      <w:hyperlink r:id="rId13" w:tooltip="Tahití" w:history="1">
        <w:r w:rsidRPr="00702D85">
          <w:rPr>
            <w:rStyle w:val="Hipervnculo"/>
            <w:rFonts w:ascii="Arial" w:hAnsi="Arial" w:cs="Arial"/>
            <w:sz w:val="24"/>
            <w:szCs w:val="24"/>
          </w:rPr>
          <w:t>Tahití</w:t>
        </w:r>
      </w:hyperlink>
      <w:r w:rsidRPr="00702D85">
        <w:rPr>
          <w:rFonts w:ascii="Arial" w:hAnsi="Arial" w:cs="Arial"/>
          <w:sz w:val="24"/>
          <w:szCs w:val="24"/>
        </w:rPr>
        <w:t xml:space="preserve"> y en el resto de las </w:t>
      </w:r>
      <w:hyperlink r:id="rId14" w:tooltip="Islas de la Sociedad" w:history="1">
        <w:r w:rsidRPr="00702D85">
          <w:rPr>
            <w:rStyle w:val="Hipervnculo"/>
            <w:rFonts w:ascii="Arial" w:hAnsi="Arial" w:cs="Arial"/>
            <w:sz w:val="24"/>
            <w:szCs w:val="24"/>
          </w:rPr>
          <w:t>Islas de la Soci</w:t>
        </w:r>
        <w:r w:rsidRPr="00702D85">
          <w:rPr>
            <w:rStyle w:val="Hipervnculo"/>
            <w:rFonts w:ascii="Arial" w:hAnsi="Arial" w:cs="Arial"/>
            <w:sz w:val="24"/>
            <w:szCs w:val="24"/>
          </w:rPr>
          <w:t>e</w:t>
        </w:r>
        <w:r w:rsidRPr="00702D85">
          <w:rPr>
            <w:rStyle w:val="Hipervnculo"/>
            <w:rFonts w:ascii="Arial" w:hAnsi="Arial" w:cs="Arial"/>
            <w:sz w:val="24"/>
            <w:szCs w:val="24"/>
          </w:rPr>
          <w:t>dad</w:t>
        </w:r>
      </w:hyperlink>
      <w:r w:rsidRPr="00702D85">
        <w:rPr>
          <w:rFonts w:ascii="Arial" w:hAnsi="Arial" w:cs="Arial"/>
          <w:sz w:val="24"/>
          <w:szCs w:val="24"/>
        </w:rPr>
        <w:t xml:space="preserve">. Forma parte del </w:t>
      </w:r>
      <w:hyperlink r:id="rId15" w:tooltip="Lenguas polinesias" w:history="1">
        <w:r w:rsidRPr="00702D85">
          <w:rPr>
            <w:rStyle w:val="Hipervnculo"/>
            <w:rFonts w:ascii="Arial" w:hAnsi="Arial" w:cs="Arial"/>
            <w:sz w:val="24"/>
            <w:szCs w:val="24"/>
          </w:rPr>
          <w:t>grupo polinesio</w:t>
        </w:r>
      </w:hyperlink>
      <w:r w:rsidRPr="00702D85">
        <w:rPr>
          <w:rFonts w:ascii="Arial" w:hAnsi="Arial" w:cs="Arial"/>
          <w:sz w:val="24"/>
          <w:szCs w:val="24"/>
        </w:rPr>
        <w:t xml:space="preserve"> oriental y se la considera como una lengua nuclear dentro de las </w:t>
      </w:r>
      <w:hyperlink r:id="rId16" w:tooltip="Lenguas tahíticas" w:history="1">
        <w:r w:rsidRPr="00702D85">
          <w:rPr>
            <w:rStyle w:val="Hipervnculo"/>
            <w:rFonts w:ascii="Arial" w:hAnsi="Arial" w:cs="Arial"/>
            <w:sz w:val="24"/>
            <w:szCs w:val="24"/>
          </w:rPr>
          <w:t xml:space="preserve">lenguas </w:t>
        </w:r>
        <w:proofErr w:type="spellStart"/>
        <w:r w:rsidRPr="00702D85">
          <w:rPr>
            <w:rStyle w:val="Hipervnculo"/>
            <w:rFonts w:ascii="Arial" w:hAnsi="Arial" w:cs="Arial"/>
            <w:sz w:val="24"/>
            <w:szCs w:val="24"/>
          </w:rPr>
          <w:t>tahít</w:t>
        </w:r>
        <w:r w:rsidRPr="00702D85">
          <w:rPr>
            <w:rStyle w:val="Hipervnculo"/>
            <w:rFonts w:ascii="Arial" w:hAnsi="Arial" w:cs="Arial"/>
            <w:sz w:val="24"/>
            <w:szCs w:val="24"/>
          </w:rPr>
          <w:t>i</w:t>
        </w:r>
        <w:r w:rsidRPr="00702D85">
          <w:rPr>
            <w:rStyle w:val="Hipervnculo"/>
            <w:rFonts w:ascii="Arial" w:hAnsi="Arial" w:cs="Arial"/>
            <w:sz w:val="24"/>
            <w:szCs w:val="24"/>
          </w:rPr>
          <w:t>cas</w:t>
        </w:r>
        <w:proofErr w:type="spellEnd"/>
      </w:hyperlink>
      <w:r>
        <w:t>.</w:t>
      </w:r>
    </w:p>
    <w:p w:rsidR="004E7E54" w:rsidRDefault="004E7E54" w:rsidP="004E7E54">
      <w:pPr>
        <w:pStyle w:val="NormalWeb"/>
      </w:pPr>
      <w:r>
        <w:t xml:space="preserve">El tahitiano es la lengua más importante del </w:t>
      </w:r>
      <w:r>
        <w:rPr>
          <w:i/>
          <w:iCs/>
        </w:rPr>
        <w:t xml:space="preserve">reo </w:t>
      </w:r>
      <w:proofErr w:type="spellStart"/>
      <w:r>
        <w:rPr>
          <w:i/>
          <w:iCs/>
        </w:rPr>
        <w:t>mā’ohi</w:t>
      </w:r>
      <w:proofErr w:type="spellEnd"/>
      <w:r>
        <w:t xml:space="preserve">, nombre que recibe el conjunto de las lenguas habladas en la </w:t>
      </w:r>
      <w:hyperlink r:id="rId17" w:tooltip="Polinesia Francesa" w:history="1">
        <w:r>
          <w:rPr>
            <w:rStyle w:val="Hipervnculo"/>
          </w:rPr>
          <w:t>Polinesia Francesa</w:t>
        </w:r>
      </w:hyperlink>
      <w:r>
        <w:t xml:space="preserve">, más allá de su adscripción a un grupo lingüístico. El </w:t>
      </w:r>
      <w:r>
        <w:rPr>
          <w:i/>
          <w:iCs/>
        </w:rPr>
        <w:t xml:space="preserve">reo </w:t>
      </w:r>
      <w:proofErr w:type="spellStart"/>
      <w:r>
        <w:rPr>
          <w:i/>
          <w:iCs/>
        </w:rPr>
        <w:t>mā’ohi</w:t>
      </w:r>
      <w:proofErr w:type="spellEnd"/>
      <w:r>
        <w:t xml:space="preserve"> incluye, además del tahitiano, a las siguientes lenguas o dialectos:</w:t>
      </w:r>
    </w:p>
    <w:p w:rsidR="004E7E54" w:rsidRDefault="004E7E54" w:rsidP="004E7E54">
      <w:pPr>
        <w:widowControl/>
        <w:numPr>
          <w:ilvl w:val="0"/>
          <w:numId w:val="6"/>
        </w:numPr>
        <w:autoSpaceDE/>
        <w:autoSpaceDN/>
        <w:adjustRightInd/>
        <w:spacing w:before="100" w:beforeAutospacing="1" w:after="100" w:afterAutospacing="1"/>
      </w:pPr>
      <w:r>
        <w:t xml:space="preserve">La lengua de las islas </w:t>
      </w:r>
      <w:hyperlink r:id="rId18" w:tooltip="Tuamotu" w:history="1">
        <w:proofErr w:type="spellStart"/>
        <w:r>
          <w:rPr>
            <w:rStyle w:val="Hipervnculo"/>
          </w:rPr>
          <w:t>Tuamotu</w:t>
        </w:r>
        <w:proofErr w:type="spellEnd"/>
      </w:hyperlink>
      <w:r>
        <w:t xml:space="preserve">, </w:t>
      </w:r>
      <w:proofErr w:type="spellStart"/>
      <w:r>
        <w:rPr>
          <w:i/>
          <w:iCs/>
        </w:rPr>
        <w:t>reko</w:t>
      </w:r>
      <w:proofErr w:type="spellEnd"/>
      <w:r>
        <w:rPr>
          <w:i/>
          <w:iCs/>
        </w:rPr>
        <w:t xml:space="preserve"> </w:t>
      </w:r>
      <w:proofErr w:type="spellStart"/>
      <w:r>
        <w:rPr>
          <w:i/>
          <w:iCs/>
        </w:rPr>
        <w:t>pa’umotu</w:t>
      </w:r>
      <w:proofErr w:type="spellEnd"/>
      <w:r>
        <w:t xml:space="preserve"> y que engloba siete variantes dialectales.</w:t>
      </w:r>
    </w:p>
    <w:p w:rsidR="004E7E54" w:rsidRDefault="004E7E54" w:rsidP="004E7E54">
      <w:pPr>
        <w:widowControl/>
        <w:numPr>
          <w:ilvl w:val="0"/>
          <w:numId w:val="6"/>
        </w:numPr>
        <w:autoSpaceDE/>
        <w:autoSpaceDN/>
        <w:adjustRightInd/>
        <w:spacing w:before="100" w:beforeAutospacing="1" w:after="100" w:afterAutospacing="1"/>
      </w:pPr>
      <w:r>
        <w:t xml:space="preserve">Las lenguas de las </w:t>
      </w:r>
      <w:hyperlink r:id="rId19" w:tooltip="Islas Marquesas" w:history="1">
        <w:r>
          <w:rPr>
            <w:rStyle w:val="Hipervnculo"/>
          </w:rPr>
          <w:t>Islas Marquesas</w:t>
        </w:r>
      </w:hyperlink>
      <w:r>
        <w:t>: la del noroeste (</w:t>
      </w:r>
      <w:r>
        <w:rPr>
          <w:i/>
          <w:iCs/>
        </w:rPr>
        <w:t>’</w:t>
      </w:r>
      <w:proofErr w:type="spellStart"/>
      <w:r>
        <w:rPr>
          <w:i/>
          <w:iCs/>
        </w:rPr>
        <w:t>eo</w:t>
      </w:r>
      <w:proofErr w:type="spellEnd"/>
      <w:r>
        <w:rPr>
          <w:i/>
          <w:iCs/>
        </w:rPr>
        <w:t xml:space="preserve"> enana</w:t>
      </w:r>
      <w:r>
        <w:t>) y la del sureste (</w:t>
      </w:r>
      <w:r>
        <w:rPr>
          <w:i/>
          <w:iCs/>
        </w:rPr>
        <w:t>’</w:t>
      </w:r>
      <w:proofErr w:type="spellStart"/>
      <w:r>
        <w:rPr>
          <w:i/>
          <w:iCs/>
        </w:rPr>
        <w:t>eo</w:t>
      </w:r>
      <w:proofErr w:type="spellEnd"/>
      <w:r>
        <w:rPr>
          <w:i/>
          <w:iCs/>
        </w:rPr>
        <w:t xml:space="preserve"> </w:t>
      </w:r>
      <w:proofErr w:type="spellStart"/>
      <w:r>
        <w:rPr>
          <w:i/>
          <w:iCs/>
        </w:rPr>
        <w:t>e</w:t>
      </w:r>
      <w:r>
        <w:rPr>
          <w:i/>
          <w:iCs/>
        </w:rPr>
        <w:t>n</w:t>
      </w:r>
      <w:r>
        <w:rPr>
          <w:i/>
          <w:iCs/>
        </w:rPr>
        <w:t>ata</w:t>
      </w:r>
      <w:proofErr w:type="spellEnd"/>
      <w:r>
        <w:t>).</w:t>
      </w:r>
    </w:p>
    <w:p w:rsidR="004E7E54" w:rsidRDefault="004E7E54" w:rsidP="004E7E54">
      <w:pPr>
        <w:widowControl/>
        <w:numPr>
          <w:ilvl w:val="0"/>
          <w:numId w:val="6"/>
        </w:numPr>
        <w:autoSpaceDE/>
        <w:autoSpaceDN/>
        <w:adjustRightInd/>
        <w:spacing w:before="100" w:beforeAutospacing="1" w:after="100" w:afterAutospacing="1"/>
      </w:pPr>
      <w:r>
        <w:t xml:space="preserve">Las lenguas de las </w:t>
      </w:r>
      <w:hyperlink r:id="rId20" w:tooltip="Islas Australes" w:history="1">
        <w:r>
          <w:rPr>
            <w:rStyle w:val="Hipervnculo"/>
          </w:rPr>
          <w:t>Islas Australes</w:t>
        </w:r>
      </w:hyperlink>
      <w:r>
        <w:t xml:space="preserve"> con sus diferentes variantes: el </w:t>
      </w:r>
      <w:r>
        <w:rPr>
          <w:i/>
          <w:iCs/>
        </w:rPr>
        <w:t>reo rapa</w:t>
      </w:r>
      <w:r>
        <w:t xml:space="preserve"> y el </w:t>
      </w:r>
      <w:hyperlink r:id="rId21" w:tooltip="Australés (aún no redactado)" w:history="1">
        <w:proofErr w:type="spellStart"/>
        <w:r>
          <w:rPr>
            <w:rStyle w:val="Hipervnculo"/>
          </w:rPr>
          <w:t>australés</w:t>
        </w:r>
        <w:proofErr w:type="spellEnd"/>
      </w:hyperlink>
      <w:r>
        <w:t xml:space="preserve">, que agrupa las variantes llamadas </w:t>
      </w:r>
      <w:proofErr w:type="spellStart"/>
      <w:r>
        <w:rPr>
          <w:i/>
          <w:iCs/>
        </w:rPr>
        <w:t>rurutu</w:t>
      </w:r>
      <w:proofErr w:type="spellEnd"/>
      <w:r>
        <w:t xml:space="preserve">, </w:t>
      </w:r>
      <w:proofErr w:type="spellStart"/>
      <w:r>
        <w:rPr>
          <w:i/>
          <w:iCs/>
        </w:rPr>
        <w:t>tupua’i</w:t>
      </w:r>
      <w:proofErr w:type="spellEnd"/>
      <w:r>
        <w:t xml:space="preserve">, </w:t>
      </w:r>
      <w:proofErr w:type="spellStart"/>
      <w:r>
        <w:rPr>
          <w:i/>
          <w:iCs/>
        </w:rPr>
        <w:t>rimatara</w:t>
      </w:r>
      <w:proofErr w:type="spellEnd"/>
      <w:r>
        <w:t xml:space="preserve"> y </w:t>
      </w:r>
      <w:proofErr w:type="spellStart"/>
      <w:r>
        <w:rPr>
          <w:i/>
          <w:iCs/>
        </w:rPr>
        <w:t>ra’ivavae</w:t>
      </w:r>
      <w:proofErr w:type="spellEnd"/>
      <w:r>
        <w:t>.</w:t>
      </w:r>
    </w:p>
    <w:p w:rsidR="004E7E54" w:rsidRDefault="004E7E54" w:rsidP="004E7E54">
      <w:pPr>
        <w:widowControl/>
        <w:numPr>
          <w:ilvl w:val="0"/>
          <w:numId w:val="6"/>
        </w:numPr>
        <w:autoSpaceDE/>
        <w:autoSpaceDN/>
        <w:adjustRightInd/>
        <w:spacing w:before="100" w:beforeAutospacing="1" w:after="100" w:afterAutospacing="1"/>
      </w:pPr>
      <w:r>
        <w:t xml:space="preserve">La lengua de las </w:t>
      </w:r>
      <w:hyperlink r:id="rId22" w:tooltip="Islas Gambier" w:history="1">
        <w:r>
          <w:rPr>
            <w:rStyle w:val="Hipervnculo"/>
          </w:rPr>
          <w:t xml:space="preserve">Islas </w:t>
        </w:r>
        <w:proofErr w:type="spellStart"/>
        <w:r>
          <w:rPr>
            <w:rStyle w:val="Hipervnculo"/>
          </w:rPr>
          <w:t>Gambier</w:t>
        </w:r>
        <w:proofErr w:type="spellEnd"/>
      </w:hyperlink>
      <w:r>
        <w:t xml:space="preserve">, el </w:t>
      </w:r>
      <w:r>
        <w:rPr>
          <w:i/>
          <w:iCs/>
        </w:rPr>
        <w:t xml:space="preserve">reo </w:t>
      </w:r>
      <w:proofErr w:type="spellStart"/>
      <w:r>
        <w:rPr>
          <w:i/>
          <w:iCs/>
        </w:rPr>
        <w:t>mangareva</w:t>
      </w:r>
      <w:proofErr w:type="spellEnd"/>
      <w:r>
        <w:t>.</w:t>
      </w:r>
    </w:p>
    <w:p w:rsidR="004E7E54" w:rsidRDefault="004E7E54" w:rsidP="004E7E54">
      <w:pPr>
        <w:pStyle w:val="NormalWeb"/>
      </w:pPr>
      <w:r>
        <w:t xml:space="preserve">En algunos casos las diferencias entre estas lenguas son de pronunciación, en otros sin embargo resultan mutuamente ininteligibles. Actualmente el tahitiano, a causa de su mayor peso demográfico, del uso por parte de la administración territorial y en los medios de comunicación, es entendido por muchos de los otros habitantes de la Polinesia Francesa, sin olvidar que el </w:t>
      </w:r>
      <w:hyperlink r:id="rId23" w:tooltip="Idioma francés" w:history="1">
        <w:r>
          <w:rPr>
            <w:rStyle w:val="Hipervnculo"/>
          </w:rPr>
          <w:t>francés</w:t>
        </w:r>
      </w:hyperlink>
      <w:r>
        <w:t xml:space="preserve"> sigue siendo en la zona la </w:t>
      </w:r>
      <w:hyperlink r:id="rId24" w:tooltip="Lengua estándar" w:history="1">
        <w:r>
          <w:rPr>
            <w:rStyle w:val="Hipervnculo"/>
          </w:rPr>
          <w:t>lengua estándar</w:t>
        </w:r>
      </w:hyperlink>
      <w:r>
        <w:t xml:space="preserve"> de uso más común para comunicarse entre diferentes grupos.</w:t>
      </w:r>
    </w:p>
    <w:p w:rsidR="004E7E54" w:rsidRDefault="004E7E54" w:rsidP="004E7E54">
      <w:pPr>
        <w:pStyle w:val="NormalWeb"/>
      </w:pPr>
      <w:r>
        <w:t xml:space="preserve">Hasta el </w:t>
      </w:r>
      <w:hyperlink r:id="rId25" w:tooltip="Siglo XIX" w:history="1">
        <w:r>
          <w:rPr>
            <w:rStyle w:val="Hipervnculo"/>
          </w:rPr>
          <w:t>siglo XIX</w:t>
        </w:r>
      </w:hyperlink>
      <w:r>
        <w:t>, al igual que el resto de las lenguas polinesias, el tahitiano fue una lengua hablada, pero no escrita, una lengua que carecía de transcripción y que pervivía merced a la tradición oral. Fueron misi</w:t>
      </w:r>
      <w:r>
        <w:t>o</w:t>
      </w:r>
      <w:r>
        <w:t xml:space="preserve">neros de la </w:t>
      </w:r>
      <w:r>
        <w:rPr>
          <w:i/>
          <w:iCs/>
        </w:rPr>
        <w:t xml:space="preserve">London </w:t>
      </w:r>
      <w:proofErr w:type="spellStart"/>
      <w:r>
        <w:rPr>
          <w:i/>
          <w:iCs/>
        </w:rPr>
        <w:t>Missionary</w:t>
      </w:r>
      <w:proofErr w:type="spellEnd"/>
      <w:r>
        <w:rPr>
          <w:i/>
          <w:iCs/>
        </w:rPr>
        <w:t xml:space="preserve"> </w:t>
      </w:r>
      <w:proofErr w:type="spellStart"/>
      <w:r>
        <w:rPr>
          <w:i/>
          <w:iCs/>
        </w:rPr>
        <w:t>Society</w:t>
      </w:r>
      <w:proofErr w:type="spellEnd"/>
      <w:r>
        <w:t xml:space="preserve"> quienes primero tomaron la tarea de transcribir el tahitiano. La oral</w:t>
      </w:r>
      <w:r>
        <w:t>i</w:t>
      </w:r>
      <w:r>
        <w:t>dad del tahitiano y el hecho de que los primeros transcriptores fueran europeos, es el motivo de que esta le</w:t>
      </w:r>
      <w:r>
        <w:t>n</w:t>
      </w:r>
      <w:r>
        <w:t xml:space="preserve">gua use el </w:t>
      </w:r>
      <w:hyperlink r:id="rId26" w:tooltip="Alfabeto latino" w:history="1">
        <w:r>
          <w:rPr>
            <w:rStyle w:val="Hipervnculo"/>
          </w:rPr>
          <w:t>alfabeto latino</w:t>
        </w:r>
      </w:hyperlink>
      <w:r>
        <w:t>, si bien lo hace con ciertas particularidades.</w:t>
      </w:r>
    </w:p>
    <w:p w:rsidR="004E7E54" w:rsidRDefault="004E7E54" w:rsidP="004E7E54">
      <w:pPr>
        <w:pStyle w:val="Ttulo2"/>
      </w:pPr>
      <w:r>
        <w:t>Índice</w:t>
      </w:r>
    </w:p>
    <w:p w:rsidR="004E7E54" w:rsidRDefault="00FE7F35" w:rsidP="004E7E54">
      <w:pPr>
        <w:widowControl/>
        <w:numPr>
          <w:ilvl w:val="0"/>
          <w:numId w:val="7"/>
        </w:numPr>
        <w:autoSpaceDE/>
        <w:autoSpaceDN/>
        <w:adjustRightInd/>
        <w:spacing w:before="100" w:beforeAutospacing="1" w:after="100" w:afterAutospacing="1"/>
      </w:pPr>
      <w:hyperlink r:id="rId27" w:anchor="Historia" w:history="1">
        <w:r w:rsidR="004E7E54">
          <w:rPr>
            <w:rStyle w:val="tocnumber"/>
          </w:rPr>
          <w:t>1</w:t>
        </w:r>
        <w:r w:rsidR="004E7E54">
          <w:rPr>
            <w:rStyle w:val="Hipervnculo"/>
          </w:rPr>
          <w:t xml:space="preserve"> </w:t>
        </w:r>
        <w:r w:rsidR="004E7E54">
          <w:rPr>
            <w:rStyle w:val="toctext"/>
            <w:color w:val="0000FF"/>
          </w:rPr>
          <w:t>Historia</w:t>
        </w:r>
      </w:hyperlink>
    </w:p>
    <w:p w:rsidR="004E7E54" w:rsidRDefault="00FE7F35" w:rsidP="004E7E54">
      <w:pPr>
        <w:widowControl/>
        <w:numPr>
          <w:ilvl w:val="0"/>
          <w:numId w:val="7"/>
        </w:numPr>
        <w:autoSpaceDE/>
        <w:autoSpaceDN/>
        <w:adjustRightInd/>
        <w:spacing w:before="100" w:beforeAutospacing="1" w:after="100" w:afterAutospacing="1"/>
      </w:pPr>
      <w:hyperlink r:id="rId28" w:anchor="Gram.C3.A1tica" w:history="1">
        <w:r w:rsidR="004E7E54">
          <w:rPr>
            <w:rStyle w:val="tocnumber"/>
          </w:rPr>
          <w:t>2</w:t>
        </w:r>
        <w:r w:rsidR="004E7E54">
          <w:rPr>
            <w:rStyle w:val="Hipervnculo"/>
          </w:rPr>
          <w:t xml:space="preserve"> </w:t>
        </w:r>
        <w:r w:rsidR="004E7E54">
          <w:rPr>
            <w:rStyle w:val="toctext"/>
            <w:color w:val="0000FF"/>
          </w:rPr>
          <w:t>Gramática</w:t>
        </w:r>
      </w:hyperlink>
      <w:r w:rsidR="004E7E54">
        <w:t xml:space="preserve"> </w:t>
      </w:r>
    </w:p>
    <w:p w:rsidR="004E7E54" w:rsidRDefault="00FE7F35" w:rsidP="004E7E54">
      <w:pPr>
        <w:widowControl/>
        <w:numPr>
          <w:ilvl w:val="1"/>
          <w:numId w:val="7"/>
        </w:numPr>
        <w:autoSpaceDE/>
        <w:autoSpaceDN/>
        <w:adjustRightInd/>
        <w:spacing w:before="100" w:beforeAutospacing="1" w:after="100" w:afterAutospacing="1"/>
      </w:pPr>
      <w:hyperlink r:id="rId29" w:anchor="Fon.C3.A9tica_y_ortograf.C3.ADa" w:history="1">
        <w:r w:rsidR="004E7E54">
          <w:rPr>
            <w:rStyle w:val="tocnumber"/>
          </w:rPr>
          <w:t>2.1</w:t>
        </w:r>
        <w:r w:rsidR="004E7E54">
          <w:rPr>
            <w:rStyle w:val="Hipervnculo"/>
          </w:rPr>
          <w:t xml:space="preserve"> </w:t>
        </w:r>
        <w:r w:rsidR="004E7E54">
          <w:rPr>
            <w:rStyle w:val="toctext"/>
            <w:color w:val="0000FF"/>
          </w:rPr>
          <w:t>Fonética y ortografía</w:t>
        </w:r>
      </w:hyperlink>
      <w:r w:rsidR="004E7E54">
        <w:t xml:space="preserve"> </w:t>
      </w:r>
    </w:p>
    <w:p w:rsidR="004E7E54" w:rsidRDefault="00FE7F35" w:rsidP="004E7E54">
      <w:pPr>
        <w:widowControl/>
        <w:numPr>
          <w:ilvl w:val="2"/>
          <w:numId w:val="7"/>
        </w:numPr>
        <w:autoSpaceDE/>
        <w:autoSpaceDN/>
        <w:adjustRightInd/>
        <w:spacing w:before="100" w:beforeAutospacing="1" w:after="100" w:afterAutospacing="1"/>
      </w:pPr>
      <w:hyperlink r:id="rId30" w:anchor="Contactos_y_transformaciones_voc.C3.A1licos" w:history="1">
        <w:r w:rsidR="004E7E54">
          <w:rPr>
            <w:rStyle w:val="tocnumber"/>
          </w:rPr>
          <w:t>2.1.1</w:t>
        </w:r>
        <w:r w:rsidR="004E7E54">
          <w:rPr>
            <w:rStyle w:val="Hipervnculo"/>
          </w:rPr>
          <w:t xml:space="preserve"> </w:t>
        </w:r>
        <w:r w:rsidR="004E7E54">
          <w:rPr>
            <w:rStyle w:val="toctext"/>
            <w:color w:val="0000FF"/>
          </w:rPr>
          <w:t>Contactos y transformaciones vocálicos</w:t>
        </w:r>
      </w:hyperlink>
    </w:p>
    <w:p w:rsidR="004E7E54" w:rsidRDefault="00FE7F35" w:rsidP="004E7E54">
      <w:pPr>
        <w:widowControl/>
        <w:numPr>
          <w:ilvl w:val="2"/>
          <w:numId w:val="7"/>
        </w:numPr>
        <w:autoSpaceDE/>
        <w:autoSpaceDN/>
        <w:adjustRightInd/>
        <w:spacing w:before="100" w:beforeAutospacing="1" w:after="100" w:afterAutospacing="1"/>
      </w:pPr>
      <w:hyperlink r:id="rId31" w:anchor="Acentuaci.C3.B3n" w:history="1">
        <w:r w:rsidR="004E7E54">
          <w:rPr>
            <w:rStyle w:val="tocnumber"/>
          </w:rPr>
          <w:t>2.1.2</w:t>
        </w:r>
        <w:r w:rsidR="004E7E54">
          <w:rPr>
            <w:rStyle w:val="Hipervnculo"/>
          </w:rPr>
          <w:t xml:space="preserve"> </w:t>
        </w:r>
        <w:r w:rsidR="004E7E54">
          <w:rPr>
            <w:rStyle w:val="toctext"/>
            <w:color w:val="0000FF"/>
          </w:rPr>
          <w:t>Acentuación</w:t>
        </w:r>
      </w:hyperlink>
    </w:p>
    <w:p w:rsidR="004E7E54" w:rsidRDefault="00FE7F35" w:rsidP="004E7E54">
      <w:pPr>
        <w:widowControl/>
        <w:numPr>
          <w:ilvl w:val="2"/>
          <w:numId w:val="7"/>
        </w:numPr>
        <w:autoSpaceDE/>
        <w:autoSpaceDN/>
        <w:adjustRightInd/>
        <w:spacing w:before="100" w:beforeAutospacing="1" w:after="100" w:afterAutospacing="1"/>
      </w:pPr>
      <w:hyperlink r:id="rId32" w:anchor="Adaptaci.C3.B3n_de_barbarismos" w:history="1">
        <w:r w:rsidR="004E7E54">
          <w:rPr>
            <w:rStyle w:val="tocnumber"/>
          </w:rPr>
          <w:t>2.1.3</w:t>
        </w:r>
        <w:r w:rsidR="004E7E54">
          <w:rPr>
            <w:rStyle w:val="Hipervnculo"/>
          </w:rPr>
          <w:t xml:space="preserve"> </w:t>
        </w:r>
        <w:r w:rsidR="004E7E54">
          <w:rPr>
            <w:rStyle w:val="toctext"/>
            <w:color w:val="0000FF"/>
          </w:rPr>
          <w:t>Adaptación de barbarismos</w:t>
        </w:r>
      </w:hyperlink>
    </w:p>
    <w:p w:rsidR="004E7E54" w:rsidRDefault="00FE7F35" w:rsidP="004E7E54">
      <w:pPr>
        <w:widowControl/>
        <w:numPr>
          <w:ilvl w:val="1"/>
          <w:numId w:val="7"/>
        </w:numPr>
        <w:autoSpaceDE/>
        <w:autoSpaceDN/>
        <w:adjustRightInd/>
        <w:spacing w:before="100" w:beforeAutospacing="1" w:after="100" w:afterAutospacing="1"/>
      </w:pPr>
      <w:hyperlink r:id="rId33" w:anchor="Morfolog.C3.ADa_flexiva" w:history="1">
        <w:r w:rsidR="004E7E54">
          <w:rPr>
            <w:rStyle w:val="tocnumber"/>
          </w:rPr>
          <w:t>2.2</w:t>
        </w:r>
        <w:r w:rsidR="004E7E54">
          <w:rPr>
            <w:rStyle w:val="Hipervnculo"/>
          </w:rPr>
          <w:t xml:space="preserve"> </w:t>
        </w:r>
        <w:r w:rsidR="004E7E54">
          <w:rPr>
            <w:rStyle w:val="toctext"/>
            <w:color w:val="0000FF"/>
          </w:rPr>
          <w:t>Morfología flexiva</w:t>
        </w:r>
      </w:hyperlink>
      <w:r w:rsidR="004E7E54">
        <w:t xml:space="preserve"> </w:t>
      </w:r>
    </w:p>
    <w:p w:rsidR="004E7E54" w:rsidRDefault="00FE7F35" w:rsidP="004E7E54">
      <w:pPr>
        <w:widowControl/>
        <w:numPr>
          <w:ilvl w:val="2"/>
          <w:numId w:val="7"/>
        </w:numPr>
        <w:autoSpaceDE/>
        <w:autoSpaceDN/>
        <w:adjustRightInd/>
        <w:spacing w:before="100" w:beforeAutospacing="1" w:after="100" w:afterAutospacing="1"/>
      </w:pPr>
      <w:hyperlink r:id="rId34" w:anchor="Morfolog.C3.ADa_nominal" w:history="1">
        <w:r w:rsidR="004E7E54">
          <w:rPr>
            <w:rStyle w:val="tocnumber"/>
          </w:rPr>
          <w:t>2.2.1</w:t>
        </w:r>
        <w:r w:rsidR="004E7E54">
          <w:rPr>
            <w:rStyle w:val="Hipervnculo"/>
          </w:rPr>
          <w:t xml:space="preserve"> </w:t>
        </w:r>
        <w:r w:rsidR="004E7E54">
          <w:rPr>
            <w:rStyle w:val="toctext"/>
            <w:color w:val="0000FF"/>
          </w:rPr>
          <w:t>Morfología nominal</w:t>
        </w:r>
      </w:hyperlink>
      <w:r w:rsidR="004E7E54">
        <w:t xml:space="preserve"> </w:t>
      </w:r>
    </w:p>
    <w:p w:rsidR="004E7E54" w:rsidRDefault="00FE7F35" w:rsidP="004E7E54">
      <w:pPr>
        <w:widowControl/>
        <w:numPr>
          <w:ilvl w:val="3"/>
          <w:numId w:val="7"/>
        </w:numPr>
        <w:autoSpaceDE/>
        <w:autoSpaceDN/>
        <w:adjustRightInd/>
        <w:spacing w:before="100" w:beforeAutospacing="1" w:after="100" w:afterAutospacing="1"/>
      </w:pPr>
      <w:hyperlink r:id="rId35" w:anchor="G.C3.A9nero_y_n.C3.BAmero" w:history="1">
        <w:r w:rsidR="004E7E54">
          <w:rPr>
            <w:rStyle w:val="tocnumber"/>
          </w:rPr>
          <w:t>2.2.1.1</w:t>
        </w:r>
        <w:r w:rsidR="004E7E54">
          <w:rPr>
            <w:rStyle w:val="Hipervnculo"/>
          </w:rPr>
          <w:t xml:space="preserve"> </w:t>
        </w:r>
        <w:r w:rsidR="004E7E54">
          <w:rPr>
            <w:rStyle w:val="toctext"/>
            <w:color w:val="0000FF"/>
          </w:rPr>
          <w:t>Género y número</w:t>
        </w:r>
      </w:hyperlink>
    </w:p>
    <w:p w:rsidR="004E7E54" w:rsidRDefault="00FE7F35" w:rsidP="004E7E54">
      <w:pPr>
        <w:widowControl/>
        <w:numPr>
          <w:ilvl w:val="3"/>
          <w:numId w:val="7"/>
        </w:numPr>
        <w:autoSpaceDE/>
        <w:autoSpaceDN/>
        <w:adjustRightInd/>
        <w:spacing w:before="100" w:beforeAutospacing="1" w:after="100" w:afterAutospacing="1"/>
      </w:pPr>
      <w:hyperlink r:id="rId36" w:anchor="Morfolog.C3.ADa_de_los_pronombres_personales" w:history="1">
        <w:r w:rsidR="004E7E54">
          <w:rPr>
            <w:rStyle w:val="tocnumber"/>
          </w:rPr>
          <w:t>2.2.1.2</w:t>
        </w:r>
        <w:r w:rsidR="004E7E54">
          <w:rPr>
            <w:rStyle w:val="Hipervnculo"/>
          </w:rPr>
          <w:t xml:space="preserve"> </w:t>
        </w:r>
        <w:r w:rsidR="004E7E54">
          <w:rPr>
            <w:rStyle w:val="toctext"/>
            <w:color w:val="0000FF"/>
          </w:rPr>
          <w:t>Morfología de los pronombres personales</w:t>
        </w:r>
      </w:hyperlink>
    </w:p>
    <w:p w:rsidR="004E7E54" w:rsidRDefault="00FE7F35" w:rsidP="004E7E54">
      <w:pPr>
        <w:widowControl/>
        <w:numPr>
          <w:ilvl w:val="3"/>
          <w:numId w:val="7"/>
        </w:numPr>
        <w:autoSpaceDE/>
        <w:autoSpaceDN/>
        <w:adjustRightInd/>
        <w:spacing w:before="100" w:beforeAutospacing="1" w:after="100" w:afterAutospacing="1"/>
      </w:pPr>
      <w:hyperlink r:id="rId37" w:anchor="Morfolog.C3.ADa_de_los_determinantes" w:history="1">
        <w:r w:rsidR="004E7E54">
          <w:rPr>
            <w:rStyle w:val="tocnumber"/>
          </w:rPr>
          <w:t>2.2.1.3</w:t>
        </w:r>
        <w:r w:rsidR="004E7E54">
          <w:rPr>
            <w:rStyle w:val="Hipervnculo"/>
          </w:rPr>
          <w:t xml:space="preserve"> </w:t>
        </w:r>
        <w:r w:rsidR="004E7E54">
          <w:rPr>
            <w:rStyle w:val="toctext"/>
            <w:color w:val="0000FF"/>
          </w:rPr>
          <w:t>Morfología de los determinantes</w:t>
        </w:r>
      </w:hyperlink>
    </w:p>
    <w:p w:rsidR="004E7E54" w:rsidRDefault="00FE7F35" w:rsidP="004E7E54">
      <w:pPr>
        <w:widowControl/>
        <w:numPr>
          <w:ilvl w:val="2"/>
          <w:numId w:val="7"/>
        </w:numPr>
        <w:autoSpaceDE/>
        <w:autoSpaceDN/>
        <w:adjustRightInd/>
        <w:spacing w:before="100" w:beforeAutospacing="1" w:after="100" w:afterAutospacing="1"/>
      </w:pPr>
      <w:hyperlink r:id="rId38" w:anchor="Morfolog.C3.ADa_verbal" w:history="1">
        <w:r w:rsidR="004E7E54">
          <w:rPr>
            <w:rStyle w:val="tocnumber"/>
          </w:rPr>
          <w:t>2.2.2</w:t>
        </w:r>
        <w:r w:rsidR="004E7E54">
          <w:rPr>
            <w:rStyle w:val="Hipervnculo"/>
          </w:rPr>
          <w:t xml:space="preserve"> </w:t>
        </w:r>
        <w:r w:rsidR="004E7E54">
          <w:rPr>
            <w:rStyle w:val="toctext"/>
            <w:color w:val="0000FF"/>
          </w:rPr>
          <w:t>Morfología verbal</w:t>
        </w:r>
      </w:hyperlink>
    </w:p>
    <w:p w:rsidR="004E7E54" w:rsidRDefault="00FE7F35" w:rsidP="004E7E54">
      <w:pPr>
        <w:widowControl/>
        <w:numPr>
          <w:ilvl w:val="1"/>
          <w:numId w:val="7"/>
        </w:numPr>
        <w:autoSpaceDE/>
        <w:autoSpaceDN/>
        <w:adjustRightInd/>
        <w:spacing w:before="100" w:beforeAutospacing="1" w:after="100" w:afterAutospacing="1"/>
      </w:pPr>
      <w:hyperlink r:id="rId39" w:anchor="Sintaxis" w:history="1">
        <w:r w:rsidR="004E7E54">
          <w:rPr>
            <w:rStyle w:val="tocnumber"/>
          </w:rPr>
          <w:t>2.3</w:t>
        </w:r>
        <w:r w:rsidR="004E7E54">
          <w:rPr>
            <w:rStyle w:val="Hipervnculo"/>
          </w:rPr>
          <w:t xml:space="preserve"> </w:t>
        </w:r>
        <w:r w:rsidR="004E7E54">
          <w:rPr>
            <w:rStyle w:val="toctext"/>
            <w:color w:val="0000FF"/>
          </w:rPr>
          <w:t>Sintaxis</w:t>
        </w:r>
      </w:hyperlink>
    </w:p>
    <w:p w:rsidR="004E7E54" w:rsidRDefault="00FE7F35" w:rsidP="004E7E54">
      <w:pPr>
        <w:widowControl/>
        <w:numPr>
          <w:ilvl w:val="0"/>
          <w:numId w:val="7"/>
        </w:numPr>
        <w:autoSpaceDE/>
        <w:autoSpaceDN/>
        <w:adjustRightInd/>
        <w:spacing w:before="100" w:beforeAutospacing="1" w:after="100" w:afterAutospacing="1"/>
      </w:pPr>
      <w:hyperlink r:id="rId40" w:anchor="Socioling.C3.BC.C3.ADstica" w:history="1">
        <w:r w:rsidR="004E7E54">
          <w:rPr>
            <w:rStyle w:val="tocnumber"/>
          </w:rPr>
          <w:t>3</w:t>
        </w:r>
        <w:r w:rsidR="004E7E54">
          <w:rPr>
            <w:rStyle w:val="Hipervnculo"/>
          </w:rPr>
          <w:t xml:space="preserve"> </w:t>
        </w:r>
        <w:r w:rsidR="004E7E54">
          <w:rPr>
            <w:rStyle w:val="toctext"/>
            <w:color w:val="0000FF"/>
          </w:rPr>
          <w:t>Sociolingüística</w:t>
        </w:r>
      </w:hyperlink>
    </w:p>
    <w:p w:rsidR="004E7E54" w:rsidRDefault="00FE7F35" w:rsidP="004E7E54">
      <w:pPr>
        <w:widowControl/>
        <w:numPr>
          <w:ilvl w:val="0"/>
          <w:numId w:val="7"/>
        </w:numPr>
        <w:autoSpaceDE/>
        <w:autoSpaceDN/>
        <w:adjustRightInd/>
        <w:spacing w:before="100" w:beforeAutospacing="1" w:after="100" w:afterAutospacing="1"/>
      </w:pPr>
      <w:hyperlink r:id="rId41" w:anchor="Expresiones_b.C3.A1sicas" w:history="1">
        <w:r w:rsidR="004E7E54">
          <w:rPr>
            <w:rStyle w:val="tocnumber"/>
          </w:rPr>
          <w:t>4</w:t>
        </w:r>
        <w:r w:rsidR="004E7E54">
          <w:rPr>
            <w:rStyle w:val="Hipervnculo"/>
          </w:rPr>
          <w:t xml:space="preserve"> </w:t>
        </w:r>
        <w:r w:rsidR="004E7E54">
          <w:rPr>
            <w:rStyle w:val="toctext"/>
            <w:color w:val="0000FF"/>
          </w:rPr>
          <w:t>Expresiones básicas</w:t>
        </w:r>
      </w:hyperlink>
    </w:p>
    <w:p w:rsidR="004E7E54" w:rsidRDefault="00FE7F35" w:rsidP="004E7E54">
      <w:pPr>
        <w:widowControl/>
        <w:numPr>
          <w:ilvl w:val="0"/>
          <w:numId w:val="7"/>
        </w:numPr>
        <w:autoSpaceDE/>
        <w:autoSpaceDN/>
        <w:adjustRightInd/>
        <w:spacing w:before="100" w:beforeAutospacing="1" w:after="100" w:afterAutospacing="1"/>
      </w:pPr>
      <w:hyperlink r:id="rId42" w:anchor="Texto_de_ejemplo" w:history="1">
        <w:r w:rsidR="004E7E54">
          <w:rPr>
            <w:rStyle w:val="tocnumber"/>
          </w:rPr>
          <w:t>5</w:t>
        </w:r>
        <w:r w:rsidR="004E7E54">
          <w:rPr>
            <w:rStyle w:val="Hipervnculo"/>
          </w:rPr>
          <w:t xml:space="preserve"> </w:t>
        </w:r>
        <w:r w:rsidR="004E7E54">
          <w:rPr>
            <w:rStyle w:val="toctext"/>
            <w:color w:val="0000FF"/>
          </w:rPr>
          <w:t>Texto de ejemplo</w:t>
        </w:r>
      </w:hyperlink>
    </w:p>
    <w:p w:rsidR="004E7E54" w:rsidRDefault="00FE7F35" w:rsidP="004E7E54">
      <w:pPr>
        <w:widowControl/>
        <w:numPr>
          <w:ilvl w:val="0"/>
          <w:numId w:val="7"/>
        </w:numPr>
        <w:autoSpaceDE/>
        <w:autoSpaceDN/>
        <w:adjustRightInd/>
        <w:spacing w:before="100" w:beforeAutospacing="1" w:after="100" w:afterAutospacing="1"/>
      </w:pPr>
      <w:hyperlink r:id="rId43" w:anchor="Pr.C3.A9stamos_del_tahitiano_hacia_las_lenguas_occidentales" w:history="1">
        <w:r w:rsidR="004E7E54">
          <w:rPr>
            <w:rStyle w:val="tocnumber"/>
          </w:rPr>
          <w:t>6</w:t>
        </w:r>
        <w:r w:rsidR="004E7E54">
          <w:rPr>
            <w:rStyle w:val="Hipervnculo"/>
          </w:rPr>
          <w:t xml:space="preserve"> </w:t>
        </w:r>
        <w:r w:rsidR="004E7E54">
          <w:rPr>
            <w:rStyle w:val="toctext"/>
            <w:color w:val="0000FF"/>
          </w:rPr>
          <w:t>Préstamos del tahitiano hacia las lenguas occidentales</w:t>
        </w:r>
      </w:hyperlink>
    </w:p>
    <w:p w:rsidR="004E7E54" w:rsidRDefault="00FE7F35" w:rsidP="004E7E54">
      <w:pPr>
        <w:widowControl/>
        <w:numPr>
          <w:ilvl w:val="0"/>
          <w:numId w:val="7"/>
        </w:numPr>
        <w:autoSpaceDE/>
        <w:autoSpaceDN/>
        <w:adjustRightInd/>
        <w:spacing w:before="100" w:beforeAutospacing="1" w:after="100" w:afterAutospacing="1"/>
      </w:pPr>
      <w:hyperlink r:id="rId44" w:anchor="Referencias" w:history="1">
        <w:r w:rsidR="004E7E54">
          <w:rPr>
            <w:rStyle w:val="tocnumber"/>
          </w:rPr>
          <w:t>7</w:t>
        </w:r>
        <w:r w:rsidR="004E7E54">
          <w:rPr>
            <w:rStyle w:val="Hipervnculo"/>
          </w:rPr>
          <w:t xml:space="preserve"> </w:t>
        </w:r>
        <w:r w:rsidR="004E7E54">
          <w:rPr>
            <w:rStyle w:val="toctext"/>
            <w:color w:val="0000FF"/>
          </w:rPr>
          <w:t>Referencias</w:t>
        </w:r>
      </w:hyperlink>
      <w:r w:rsidR="004E7E54">
        <w:t xml:space="preserve"> </w:t>
      </w:r>
    </w:p>
    <w:p w:rsidR="004E7E54" w:rsidRDefault="00FE7F35" w:rsidP="004E7E54">
      <w:pPr>
        <w:widowControl/>
        <w:numPr>
          <w:ilvl w:val="1"/>
          <w:numId w:val="7"/>
        </w:numPr>
        <w:autoSpaceDE/>
        <w:autoSpaceDN/>
        <w:adjustRightInd/>
        <w:spacing w:before="100" w:beforeAutospacing="1" w:after="100" w:afterAutospacing="1"/>
      </w:pPr>
      <w:hyperlink r:id="rId45" w:anchor="Bibliograf.C3.ADa" w:history="1">
        <w:r w:rsidR="004E7E54">
          <w:rPr>
            <w:rStyle w:val="tocnumber"/>
          </w:rPr>
          <w:t>7.1</w:t>
        </w:r>
        <w:r w:rsidR="004E7E54">
          <w:rPr>
            <w:rStyle w:val="Hipervnculo"/>
          </w:rPr>
          <w:t xml:space="preserve"> </w:t>
        </w:r>
        <w:r w:rsidR="004E7E54">
          <w:rPr>
            <w:rStyle w:val="toctext"/>
            <w:color w:val="0000FF"/>
          </w:rPr>
          <w:t>Bibliografía</w:t>
        </w:r>
      </w:hyperlink>
    </w:p>
    <w:p w:rsidR="004E7E54" w:rsidRDefault="00FE7F35" w:rsidP="004E7E54">
      <w:pPr>
        <w:widowControl/>
        <w:numPr>
          <w:ilvl w:val="1"/>
          <w:numId w:val="7"/>
        </w:numPr>
        <w:autoSpaceDE/>
        <w:autoSpaceDN/>
        <w:adjustRightInd/>
        <w:spacing w:before="100" w:beforeAutospacing="1" w:after="100" w:afterAutospacing="1"/>
      </w:pPr>
      <w:hyperlink r:id="rId46" w:anchor="Enlaces_externos" w:history="1">
        <w:r w:rsidR="004E7E54">
          <w:rPr>
            <w:rStyle w:val="tocnumber"/>
          </w:rPr>
          <w:t>7.2</w:t>
        </w:r>
        <w:r w:rsidR="004E7E54">
          <w:rPr>
            <w:rStyle w:val="Hipervnculo"/>
          </w:rPr>
          <w:t xml:space="preserve"> </w:t>
        </w:r>
        <w:r w:rsidR="004E7E54">
          <w:rPr>
            <w:rStyle w:val="toctext"/>
            <w:color w:val="0000FF"/>
          </w:rPr>
          <w:t>Enlaces externos</w:t>
        </w:r>
      </w:hyperlink>
    </w:p>
    <w:p w:rsidR="004E7E54" w:rsidRDefault="004E7E54" w:rsidP="004E7E54">
      <w:pPr>
        <w:pStyle w:val="Ttulo2"/>
      </w:pPr>
      <w:r>
        <w:rPr>
          <w:rStyle w:val="mw-headline"/>
        </w:rPr>
        <w:lastRenderedPageBreak/>
        <w:t>Historia</w:t>
      </w:r>
    </w:p>
    <w:p w:rsidR="004E7E54" w:rsidRDefault="004E7E54" w:rsidP="004E7E54">
      <w:pPr>
        <w:pStyle w:val="NormalWeb"/>
      </w:pPr>
      <w:r>
        <w:t xml:space="preserve">El tahitiano, como el resto de </w:t>
      </w:r>
      <w:hyperlink r:id="rId47" w:tooltip="Lenguas malayo-polinesias" w:history="1">
        <w:r>
          <w:rPr>
            <w:rStyle w:val="Hipervnculo"/>
          </w:rPr>
          <w:t>lenguas malayo-polinesias</w:t>
        </w:r>
      </w:hyperlink>
      <w:r>
        <w:t xml:space="preserve">, tuvo su origen en la inmigración y colonización de las diversas islas del </w:t>
      </w:r>
      <w:hyperlink r:id="rId48" w:tooltip="Océano Pacífico" w:history="1">
        <w:r>
          <w:rPr>
            <w:rStyle w:val="Hipervnculo"/>
          </w:rPr>
          <w:t>océano Pacífico</w:t>
        </w:r>
      </w:hyperlink>
      <w:r>
        <w:t xml:space="preserve"> que dio origen a la actual fragmentación lingüística en treinta y ocho lenguas en la Polinesia. Esta gran fragmentación es el resultado no solamente del ritmo evolutivo de las le</w:t>
      </w:r>
      <w:r>
        <w:t>n</w:t>
      </w:r>
      <w:r>
        <w:t xml:space="preserve">guas, sino además del ritmo de su difusión. En el periodo que fue desde el 1600 a. C. al 1200 a. C., la </w:t>
      </w:r>
      <w:hyperlink r:id="rId49" w:tooltip="Cultura Lapita (aún no redactado)" w:history="1">
        <w:r>
          <w:rPr>
            <w:rStyle w:val="Hipervnculo"/>
          </w:rPr>
          <w:t>cultura Lapita</w:t>
        </w:r>
      </w:hyperlink>
      <w:r>
        <w:t xml:space="preserve"> se desarrolló y expandió desde </w:t>
      </w:r>
      <w:hyperlink r:id="rId50" w:tooltip="Nueva Guinea" w:history="1">
        <w:r>
          <w:rPr>
            <w:rStyle w:val="Hipervnculo"/>
          </w:rPr>
          <w:t>Nueva Guinea</w:t>
        </w:r>
      </w:hyperlink>
      <w:r>
        <w:t xml:space="preserve"> a </w:t>
      </w:r>
      <w:hyperlink r:id="rId51" w:tooltip="Fiyi" w:history="1">
        <w:r>
          <w:rPr>
            <w:rStyle w:val="Hipervnculo"/>
          </w:rPr>
          <w:t>Fiyi</w:t>
        </w:r>
      </w:hyperlink>
      <w:r>
        <w:t xml:space="preserve">, </w:t>
      </w:r>
      <w:hyperlink r:id="rId52" w:tooltip="Tonga" w:history="1">
        <w:r>
          <w:rPr>
            <w:rStyle w:val="Hipervnculo"/>
          </w:rPr>
          <w:t>Tonga</w:t>
        </w:r>
      </w:hyperlink>
      <w:r>
        <w:t xml:space="preserve"> y </w:t>
      </w:r>
      <w:hyperlink r:id="rId53" w:tooltip="Samoa" w:history="1">
        <w:r>
          <w:rPr>
            <w:rStyle w:val="Hipervnculo"/>
          </w:rPr>
          <w:t>Samoa</w:t>
        </w:r>
      </w:hyperlink>
      <w:r>
        <w:t xml:space="preserve">. Precisamente desde estos dos últimos grupos de islas partieron las migraciones y colonizaciones de la Polinesia hacia el </w:t>
      </w:r>
      <w:hyperlink r:id="rId54" w:tooltip="300 a. C." w:history="1">
        <w:r>
          <w:rPr>
            <w:rStyle w:val="Hipervnculo"/>
          </w:rPr>
          <w:t>300 a. C.</w:t>
        </w:r>
      </w:hyperlink>
      <w:r>
        <w:t xml:space="preserve"> Fiyi, un territorio de cultura y lengua </w:t>
      </w:r>
      <w:hyperlink r:id="rId55" w:tooltip="Melanesia" w:history="1">
        <w:r>
          <w:rPr>
            <w:rStyle w:val="Hipervnculo"/>
          </w:rPr>
          <w:t>melanesias</w:t>
        </w:r>
      </w:hyperlink>
      <w:r>
        <w:t xml:space="preserve"> fue el punto de origen para la colonización de las vecinas islas de Tonga y Samoa. En el triangulo formado por estas islas se gestó la configuración del </w:t>
      </w:r>
      <w:proofErr w:type="spellStart"/>
      <w:r>
        <w:rPr>
          <w:i/>
          <w:iCs/>
        </w:rPr>
        <w:t>fijiano</w:t>
      </w:r>
      <w:proofErr w:type="spellEnd"/>
      <w:r>
        <w:rPr>
          <w:i/>
          <w:iCs/>
        </w:rPr>
        <w:t>-polinesio</w:t>
      </w:r>
      <w:r>
        <w:t xml:space="preserve">, una </w:t>
      </w:r>
      <w:proofErr w:type="spellStart"/>
      <w:r>
        <w:t>protolengua</w:t>
      </w:r>
      <w:proofErr w:type="spellEnd"/>
      <w:r>
        <w:t xml:space="preserve"> derivada de las lenguas melanesias que se habían extendido por la región oceánica gracias a la cultura lapita. Del mismo modo, fue en este triángulo insular donde se configuró la cultura polinesia, si bien Fiyi, en tanto que territorio melanesio y fuertemente ligado a esa cultura, no siguió esta evolución del mismo modo que Tonga y Samoa, que caminaron hacia una nueva cultura que, por ejemplo, no usaba la cerámica, cosa que sí hacían Fiyi y la cultura melanesia. Esta nueva cultura con rasgos idiosincrásicos que la difere</w:t>
      </w:r>
      <w:r>
        <w:t>n</w:t>
      </w:r>
      <w:r>
        <w:t xml:space="preserve">ciaban de la de </w:t>
      </w:r>
      <w:hyperlink r:id="rId56" w:tooltip="Melanesia" w:history="1">
        <w:r>
          <w:rPr>
            <w:rStyle w:val="Hipervnculo"/>
          </w:rPr>
          <w:t>Melanesia</w:t>
        </w:r>
      </w:hyperlink>
      <w:r>
        <w:t xml:space="preserve"> fue el origen de la cultura polinesia. En consecuencia, cuando en el 300 a. C. de</w:t>
      </w:r>
      <w:r>
        <w:t>s</w:t>
      </w:r>
      <w:r>
        <w:t>de Tonga y Samoa se emprendieron navegaciones hacia el este, se exportó ya una cultura propia y difere</w:t>
      </w:r>
      <w:r>
        <w:t>n</w:t>
      </w:r>
      <w:r>
        <w:t>ciada de la cultura madre melanesia. Y con esa cultura viajaba una lengua nueva que serviría de origen a las futuras lenguas polinesias.</w:t>
      </w:r>
    </w:p>
    <w:p w:rsidR="004E7E54" w:rsidRDefault="004E7E54" w:rsidP="004E7E54">
      <w:pPr>
        <w:pStyle w:val="NormalWeb"/>
      </w:pPr>
      <w:r>
        <w:t xml:space="preserve">Las migraciones iniciadas en Tonga y Samoa siguieron un recorrido que pasó por las </w:t>
      </w:r>
      <w:hyperlink r:id="rId57" w:tooltip="Islas Cook" w:history="1">
        <w:r>
          <w:rPr>
            <w:rStyle w:val="Hipervnculo"/>
          </w:rPr>
          <w:t>Islas Cook</w:t>
        </w:r>
      </w:hyperlink>
      <w:r>
        <w:t xml:space="preserve">, </w:t>
      </w:r>
      <w:hyperlink r:id="rId58" w:tooltip="Tahití" w:history="1">
        <w:r>
          <w:rPr>
            <w:rStyle w:val="Hipervnculo"/>
          </w:rPr>
          <w:t>Tahití</w:t>
        </w:r>
      </w:hyperlink>
      <w:r>
        <w:t xml:space="preserve">, las </w:t>
      </w:r>
      <w:hyperlink r:id="rId59" w:tooltip="Tuamotu" w:history="1">
        <w:r>
          <w:rPr>
            <w:rStyle w:val="Hipervnculo"/>
          </w:rPr>
          <w:t xml:space="preserve">Islas </w:t>
        </w:r>
        <w:proofErr w:type="spellStart"/>
        <w:r>
          <w:rPr>
            <w:rStyle w:val="Hipervnculo"/>
          </w:rPr>
          <w:t>Tuamotu</w:t>
        </w:r>
        <w:proofErr w:type="spellEnd"/>
      </w:hyperlink>
      <w:r>
        <w:t xml:space="preserve"> y acaba en las </w:t>
      </w:r>
      <w:hyperlink r:id="rId60" w:tooltip="Islas Marquesas" w:history="1">
        <w:r>
          <w:rPr>
            <w:rStyle w:val="Hipervnculo"/>
          </w:rPr>
          <w:t>Islas Marquesas</w:t>
        </w:r>
      </w:hyperlink>
      <w:r>
        <w:t>. En esta primera colonización, se puede apreciar perfectame</w:t>
      </w:r>
      <w:r>
        <w:t>n</w:t>
      </w:r>
      <w:r>
        <w:t xml:space="preserve">te la articulación de los grandes grupos lingüísticos dentro de las lenguas polinésicas: las </w:t>
      </w:r>
      <w:hyperlink r:id="rId61" w:tooltip="Lenguas tónguicas (aún no redactado)" w:history="1">
        <w:r>
          <w:rPr>
            <w:rStyle w:val="Hipervnculo"/>
          </w:rPr>
          <w:t xml:space="preserve">lenguas </w:t>
        </w:r>
        <w:proofErr w:type="spellStart"/>
        <w:r>
          <w:rPr>
            <w:rStyle w:val="Hipervnculo"/>
          </w:rPr>
          <w:t>tónguicas</w:t>
        </w:r>
        <w:proofErr w:type="spellEnd"/>
      </w:hyperlink>
      <w:r>
        <w:t xml:space="preserve">, las </w:t>
      </w:r>
      <w:hyperlink r:id="rId62" w:tooltip="Lenguas samoicas (aún no redactado)" w:history="1">
        <w:r>
          <w:rPr>
            <w:rStyle w:val="Hipervnculo"/>
          </w:rPr>
          <w:t xml:space="preserve">lenguas </w:t>
        </w:r>
        <w:proofErr w:type="spellStart"/>
        <w:r>
          <w:rPr>
            <w:rStyle w:val="Hipervnculo"/>
          </w:rPr>
          <w:t>samoicas</w:t>
        </w:r>
        <w:proofErr w:type="spellEnd"/>
      </w:hyperlink>
      <w:r>
        <w:t xml:space="preserve">, las </w:t>
      </w:r>
      <w:hyperlink r:id="rId63" w:tooltip="Lenguas tahíticas" w:history="1">
        <w:r>
          <w:rPr>
            <w:rStyle w:val="Hipervnculo"/>
          </w:rPr>
          <w:t xml:space="preserve">lenguas </w:t>
        </w:r>
        <w:proofErr w:type="spellStart"/>
        <w:r>
          <w:rPr>
            <w:rStyle w:val="Hipervnculo"/>
          </w:rPr>
          <w:t>tahíticas</w:t>
        </w:r>
        <w:proofErr w:type="spellEnd"/>
      </w:hyperlink>
      <w:r>
        <w:t xml:space="preserve"> y las </w:t>
      </w:r>
      <w:hyperlink r:id="rId64" w:tooltip="Lenguas marquésicas (aún no redactado)" w:history="1">
        <w:r>
          <w:rPr>
            <w:rStyle w:val="Hipervnculo"/>
          </w:rPr>
          <w:t xml:space="preserve">lenguas </w:t>
        </w:r>
        <w:proofErr w:type="spellStart"/>
        <w:r>
          <w:rPr>
            <w:rStyle w:val="Hipervnculo"/>
          </w:rPr>
          <w:t>marquésicas</w:t>
        </w:r>
        <w:proofErr w:type="spellEnd"/>
      </w:hyperlink>
      <w:r>
        <w:t xml:space="preserve">. Estas </w:t>
      </w:r>
      <w:proofErr w:type="spellStart"/>
      <w:r>
        <w:t>protolenguas</w:t>
      </w:r>
      <w:proofErr w:type="spellEnd"/>
      <w:r>
        <w:t xml:space="preserve"> se convirtieron en el embrión de las futuras lenguas derivadas que conforman los subgrupos que hoy día se conocen con el mismo nombre que las </w:t>
      </w:r>
      <w:proofErr w:type="spellStart"/>
      <w:r>
        <w:t>protolenguas</w:t>
      </w:r>
      <w:proofErr w:type="spellEnd"/>
      <w:r>
        <w:t xml:space="preserve">. En la actualidad, la única </w:t>
      </w:r>
      <w:proofErr w:type="spellStart"/>
      <w:r>
        <w:t>protolengua</w:t>
      </w:r>
      <w:proofErr w:type="spellEnd"/>
      <w:r>
        <w:t xml:space="preserve"> que subsiste es el </w:t>
      </w:r>
      <w:proofErr w:type="spellStart"/>
      <w:r>
        <w:t>tónguico</w:t>
      </w:r>
      <w:proofErr w:type="spellEnd"/>
      <w:r>
        <w:t>, div</w:t>
      </w:r>
      <w:r>
        <w:t>i</w:t>
      </w:r>
      <w:r>
        <w:t xml:space="preserve">dido en </w:t>
      </w:r>
      <w:hyperlink r:id="rId65" w:tooltip="Tongano" w:history="1">
        <w:r>
          <w:rPr>
            <w:rStyle w:val="Hipervnculo"/>
          </w:rPr>
          <w:t>tongano</w:t>
        </w:r>
      </w:hyperlink>
      <w:r>
        <w:t xml:space="preserve"> y </w:t>
      </w:r>
      <w:hyperlink r:id="rId66" w:tooltip="Niués (aún no redactado)" w:history="1">
        <w:proofErr w:type="spellStart"/>
        <w:r>
          <w:rPr>
            <w:rStyle w:val="Hipervnculo"/>
          </w:rPr>
          <w:t>niués</w:t>
        </w:r>
        <w:proofErr w:type="spellEnd"/>
      </w:hyperlink>
      <w:r>
        <w:t xml:space="preserve">; además, se puede decir que el tongano es la lengua más cercana al </w:t>
      </w:r>
      <w:hyperlink r:id="rId67" w:tooltip="Protopolinesio (aún no redactado)" w:history="1">
        <w:proofErr w:type="spellStart"/>
        <w:r>
          <w:rPr>
            <w:rStyle w:val="Hipervnculo"/>
          </w:rPr>
          <w:t>protopolinesio</w:t>
        </w:r>
        <w:proofErr w:type="spellEnd"/>
      </w:hyperlink>
      <w:r>
        <w:t>, una reconstrucción de la lengua madre de las treinta y ocho lenguas polinesias.</w:t>
      </w:r>
    </w:p>
    <w:p w:rsidR="004E7E54" w:rsidRDefault="004E7E54" w:rsidP="004E7E54">
      <w:pPr>
        <w:pStyle w:val="NormalWeb"/>
      </w:pPr>
      <w:r>
        <w:t xml:space="preserve">Se puede apreciar como el </w:t>
      </w:r>
      <w:proofErr w:type="spellStart"/>
      <w:r>
        <w:t>tahítico</w:t>
      </w:r>
      <w:proofErr w:type="spellEnd"/>
      <w:r>
        <w:t xml:space="preserve"> (o </w:t>
      </w:r>
      <w:proofErr w:type="spellStart"/>
      <w:r>
        <w:t>protohaitiano</w:t>
      </w:r>
      <w:proofErr w:type="spellEnd"/>
      <w:r>
        <w:t>) se formó durante la primera ola migratoria, la cual c</w:t>
      </w:r>
      <w:r>
        <w:t>o</w:t>
      </w:r>
      <w:r>
        <w:t>lonizó la Polinesia central (</w:t>
      </w:r>
      <w:hyperlink r:id="rId68" w:tooltip="Islas Cook" w:history="1">
        <w:r>
          <w:rPr>
            <w:rStyle w:val="Hipervnculo"/>
          </w:rPr>
          <w:t>Islas Cook</w:t>
        </w:r>
      </w:hyperlink>
      <w:r>
        <w:t xml:space="preserve">, </w:t>
      </w:r>
      <w:hyperlink r:id="rId69" w:tooltip="Islas de la Sociedad" w:history="1">
        <w:r>
          <w:rPr>
            <w:rStyle w:val="Hipervnculo"/>
          </w:rPr>
          <w:t>Islas de la Sociedad</w:t>
        </w:r>
      </w:hyperlink>
      <w:r>
        <w:t xml:space="preserve">, Islas </w:t>
      </w:r>
      <w:proofErr w:type="spellStart"/>
      <w:r>
        <w:t>Tuamotu</w:t>
      </w:r>
      <w:proofErr w:type="spellEnd"/>
      <w:r>
        <w:t xml:space="preserve"> y más tarde las Islas Australes. Las raíces del tahitiano, por tanto, se pueden encontrar ya en los primeros tiempos de la existencia de la cu</w:t>
      </w:r>
      <w:r>
        <w:t>l</w:t>
      </w:r>
      <w:r>
        <w:t xml:space="preserve">tura polinesia. La evolución posterior de la lengua le ha hecho perder algunos fonemas característicos (como se verá en la sección de gramática más adelante) que sí se pueden encontrar en otras de las lenguas </w:t>
      </w:r>
      <w:proofErr w:type="spellStart"/>
      <w:r>
        <w:t>tahíticas</w:t>
      </w:r>
      <w:proofErr w:type="spellEnd"/>
      <w:r>
        <w:t xml:space="preserve"> diferenciándola y modelándola tal y como se conoce hoy. El aislamiento que sufría cada uno de los territ</w:t>
      </w:r>
      <w:r>
        <w:t>o</w:t>
      </w:r>
      <w:r>
        <w:t>rios causaba la ruptura y fragmentación del subgrupo lingüístico en lenguas independientes que, a pesar de que comparten un origen común, acabaron sufriendo una evolución separada de las otras lenguas, sin que hubiera un contacto frecuente entre hablantes que permitiera la cohesión o una evolución convergente.</w:t>
      </w:r>
    </w:p>
    <w:p w:rsidR="004E7E54" w:rsidRDefault="004E7E54" w:rsidP="004E7E54">
      <w:pPr>
        <w:pStyle w:val="NormalWeb"/>
      </w:pPr>
      <w:r>
        <w:t xml:space="preserve">Desde este núcleo central de la Polinesia partieron nuevas migraciones alrededor del año </w:t>
      </w:r>
      <w:hyperlink r:id="rId70" w:tooltip="1000" w:history="1">
        <w:r>
          <w:rPr>
            <w:rStyle w:val="Hipervnculo"/>
          </w:rPr>
          <w:t>1000</w:t>
        </w:r>
      </w:hyperlink>
      <w:r>
        <w:t xml:space="preserve">, las cuales ensancharon el área del </w:t>
      </w:r>
      <w:proofErr w:type="spellStart"/>
      <w:r>
        <w:t>tahítico</w:t>
      </w:r>
      <w:proofErr w:type="spellEnd"/>
      <w:r>
        <w:t xml:space="preserve"> a partir de una de las lenguas que ya se estaba formando. Del mismo modo que desde las Islas Marquesas se pobló </w:t>
      </w:r>
      <w:hyperlink r:id="rId71" w:tooltip="Hawaii" w:history="1">
        <w:proofErr w:type="spellStart"/>
        <w:r>
          <w:rPr>
            <w:rStyle w:val="Hipervnculo"/>
          </w:rPr>
          <w:t>Hawaii</w:t>
        </w:r>
        <w:proofErr w:type="spellEnd"/>
      </w:hyperlink>
      <w:r>
        <w:t xml:space="preserve"> hacia el </w:t>
      </w:r>
      <w:hyperlink r:id="rId72" w:tooltip="400" w:history="1">
        <w:r>
          <w:rPr>
            <w:rStyle w:val="Hipervnculo"/>
          </w:rPr>
          <w:t>400</w:t>
        </w:r>
      </w:hyperlink>
      <w:r>
        <w:t xml:space="preserve">, en el </w:t>
      </w:r>
      <w:hyperlink r:id="rId73" w:tooltip="Siglo XI" w:history="1">
        <w:r>
          <w:rPr>
            <w:rStyle w:val="Hipervnculo"/>
          </w:rPr>
          <w:t>siglo XI</w:t>
        </w:r>
      </w:hyperlink>
      <w:r>
        <w:t xml:space="preserve"> desde el núcleo </w:t>
      </w:r>
      <w:proofErr w:type="spellStart"/>
      <w:r>
        <w:t>tahítico</w:t>
      </w:r>
      <w:proofErr w:type="spellEnd"/>
      <w:r>
        <w:t xml:space="preserve"> co</w:t>
      </w:r>
      <w:r>
        <w:t>m</w:t>
      </w:r>
      <w:r>
        <w:t xml:space="preserve">prendido entre las Islas de la Sociedad y las Islas Cook se pobló </w:t>
      </w:r>
      <w:hyperlink r:id="rId74" w:tooltip="Nueva Zelanda" w:history="1">
        <w:r>
          <w:rPr>
            <w:rStyle w:val="Hipervnculo"/>
          </w:rPr>
          <w:t>Nueva Zelanda</w:t>
        </w:r>
      </w:hyperlink>
      <w:r>
        <w:t xml:space="preserve">. Esto supuso una expansión considerable del dominio del </w:t>
      </w:r>
      <w:proofErr w:type="spellStart"/>
      <w:r>
        <w:t>tahítico</w:t>
      </w:r>
      <w:proofErr w:type="spellEnd"/>
      <w:r>
        <w:t xml:space="preserve"> que, como el </w:t>
      </w:r>
      <w:proofErr w:type="spellStart"/>
      <w:r>
        <w:t>marquésico</w:t>
      </w:r>
      <w:proofErr w:type="spellEnd"/>
      <w:r>
        <w:t xml:space="preserve">, ampliaba su área de difusión a través de la colonización. En Nueva Zelanda (o </w:t>
      </w:r>
      <w:proofErr w:type="spellStart"/>
      <w:r>
        <w:rPr>
          <w:i/>
          <w:iCs/>
        </w:rPr>
        <w:t>Aotearoa</w:t>
      </w:r>
      <w:proofErr w:type="spellEnd"/>
      <w:r>
        <w:t xml:space="preserve">) se configuró con el tiempo la que ha acabado por ser la otra gran lengua </w:t>
      </w:r>
      <w:proofErr w:type="spellStart"/>
      <w:r>
        <w:t>tahítica</w:t>
      </w:r>
      <w:proofErr w:type="spellEnd"/>
      <w:r>
        <w:t xml:space="preserve">: el </w:t>
      </w:r>
      <w:hyperlink r:id="rId75" w:tooltip="Idioma maorí" w:history="1">
        <w:r>
          <w:rPr>
            <w:rStyle w:val="Hipervnculo"/>
          </w:rPr>
          <w:t>maorí</w:t>
        </w:r>
      </w:hyperlink>
      <w:r>
        <w:t xml:space="preserve">. no se puede decir que el maorí y el tahitiano sean lenguas gemelas, ni que una provenga de la otra; se ha de ver el maorí como el fruto de una evolución separada de un dialecto </w:t>
      </w:r>
      <w:proofErr w:type="spellStart"/>
      <w:r>
        <w:t>tahítico</w:t>
      </w:r>
      <w:proofErr w:type="spellEnd"/>
      <w:r>
        <w:t xml:space="preserve">, al mismo nivel que el tahitiano o el que se ha dado en llamar </w:t>
      </w:r>
      <w:hyperlink r:id="rId76" w:tooltip="Maorí de las Islas Cook (aún no redactado)" w:history="1">
        <w:r>
          <w:rPr>
            <w:rStyle w:val="Hipervnculo"/>
          </w:rPr>
          <w:t>maorí de las Islas Cook</w:t>
        </w:r>
      </w:hyperlink>
      <w:r>
        <w:t xml:space="preserve">. Las tres lenguas forman el gran espacio lingüístico </w:t>
      </w:r>
      <w:proofErr w:type="spellStart"/>
      <w:r>
        <w:t>tahítico</w:t>
      </w:r>
      <w:proofErr w:type="spellEnd"/>
      <w:r>
        <w:t xml:space="preserve">, tras evoluciones y transformaciones por separado en cada una de las islas o archipiélagos correspondientes. Por ejemplo, mientras que el maorí conserva los </w:t>
      </w:r>
      <w:r>
        <w:rPr>
          <w:rStyle w:val="ipa"/>
        </w:rPr>
        <w:t>[k]</w:t>
      </w:r>
      <w:r>
        <w:t xml:space="preserve"> y </w:t>
      </w:r>
      <w:r>
        <w:rPr>
          <w:rStyle w:val="ipa"/>
        </w:rPr>
        <w:t>[ŋ]</w:t>
      </w:r>
      <w:r>
        <w:t xml:space="preserve">, el tahitiano no lo ha hecho y la pronunciación relajada y rápida los ha simplificado en una </w:t>
      </w:r>
      <w:hyperlink r:id="rId77" w:tooltip="Oclusiva glotal sorda" w:history="1">
        <w:r>
          <w:rPr>
            <w:rStyle w:val="Hipervnculo"/>
          </w:rPr>
          <w:t xml:space="preserve">oclusiva </w:t>
        </w:r>
        <w:proofErr w:type="spellStart"/>
        <w:r>
          <w:rPr>
            <w:rStyle w:val="Hipervnculo"/>
          </w:rPr>
          <w:t>glotal</w:t>
        </w:r>
        <w:proofErr w:type="spellEnd"/>
        <w:r>
          <w:rPr>
            <w:rStyle w:val="Hipervnculo"/>
          </w:rPr>
          <w:t xml:space="preserve"> sorda</w:t>
        </w:r>
      </w:hyperlink>
      <w:r>
        <w:t xml:space="preserve"> (</w:t>
      </w:r>
      <w:r>
        <w:rPr>
          <w:rStyle w:val="ipa"/>
        </w:rPr>
        <w:t>[ʔ]</w:t>
      </w:r>
      <w:r>
        <w:t>). A continuación se puede ver un cuadro comparativo entre algunas palabras en tahitiano, maorí y maorí de las Islas Cook:</w:t>
      </w:r>
    </w:p>
    <w:tbl>
      <w:tblPr>
        <w:tblW w:w="0" w:type="auto"/>
        <w:tblCellSpacing w:w="15" w:type="dxa"/>
        <w:tblCellMar>
          <w:top w:w="15" w:type="dxa"/>
          <w:left w:w="15" w:type="dxa"/>
          <w:bottom w:w="15" w:type="dxa"/>
          <w:right w:w="15" w:type="dxa"/>
        </w:tblCellMar>
        <w:tblLook w:val="04A0"/>
      </w:tblPr>
      <w:tblGrid>
        <w:gridCol w:w="1757"/>
        <w:gridCol w:w="1635"/>
        <w:gridCol w:w="1795"/>
        <w:gridCol w:w="2730"/>
      </w:tblGrid>
      <w:tr w:rsidR="004E7E54" w:rsidTr="004E7E54">
        <w:trPr>
          <w:tblCellSpacing w:w="15" w:type="dxa"/>
        </w:trPr>
        <w:tc>
          <w:tcPr>
            <w:tcW w:w="0" w:type="auto"/>
            <w:vAlign w:val="center"/>
            <w:hideMark/>
          </w:tcPr>
          <w:p w:rsidR="004E7E54" w:rsidRDefault="004E7E54">
            <w:pPr>
              <w:jc w:val="center"/>
              <w:rPr>
                <w:b/>
                <w:bCs/>
              </w:rPr>
            </w:pPr>
            <w:r>
              <w:rPr>
                <w:b/>
                <w:bCs/>
              </w:rPr>
              <w:lastRenderedPageBreak/>
              <w:t>Español</w:t>
            </w:r>
          </w:p>
        </w:tc>
        <w:tc>
          <w:tcPr>
            <w:tcW w:w="0" w:type="auto"/>
            <w:vAlign w:val="center"/>
            <w:hideMark/>
          </w:tcPr>
          <w:p w:rsidR="004E7E54" w:rsidRDefault="00FE7F35">
            <w:pPr>
              <w:jc w:val="center"/>
              <w:rPr>
                <w:b/>
                <w:bCs/>
              </w:rPr>
            </w:pPr>
            <w:hyperlink r:id="rId78" w:tooltip="Tahitiano" w:history="1">
              <w:r w:rsidR="004E7E54">
                <w:rPr>
                  <w:rStyle w:val="Hipervnculo"/>
                  <w:b/>
                  <w:bCs/>
                </w:rPr>
                <w:t>Tahitiano</w:t>
              </w:r>
            </w:hyperlink>
          </w:p>
        </w:tc>
        <w:tc>
          <w:tcPr>
            <w:tcW w:w="0" w:type="auto"/>
            <w:vAlign w:val="center"/>
            <w:hideMark/>
          </w:tcPr>
          <w:p w:rsidR="004E7E54" w:rsidRDefault="00FE7F35">
            <w:pPr>
              <w:jc w:val="center"/>
              <w:rPr>
                <w:b/>
                <w:bCs/>
              </w:rPr>
            </w:pPr>
            <w:hyperlink r:id="rId79" w:tooltip="Maorí" w:history="1">
              <w:r w:rsidR="004E7E54">
                <w:rPr>
                  <w:rStyle w:val="Hipervnculo"/>
                  <w:b/>
                  <w:bCs/>
                </w:rPr>
                <w:t>Maorí</w:t>
              </w:r>
            </w:hyperlink>
          </w:p>
        </w:tc>
        <w:tc>
          <w:tcPr>
            <w:tcW w:w="0" w:type="auto"/>
            <w:vAlign w:val="center"/>
            <w:hideMark/>
          </w:tcPr>
          <w:p w:rsidR="004E7E54" w:rsidRDefault="00FE7F35">
            <w:pPr>
              <w:jc w:val="center"/>
              <w:rPr>
                <w:b/>
                <w:bCs/>
              </w:rPr>
            </w:pPr>
            <w:hyperlink r:id="rId80" w:tooltip="Maorí de las Islas Cook (aún no redactado)" w:history="1">
              <w:r w:rsidR="004E7E54">
                <w:rPr>
                  <w:rStyle w:val="Hipervnculo"/>
                  <w:b/>
                  <w:bCs/>
                </w:rPr>
                <w:t>Maorí de las Islas Cook</w:t>
              </w:r>
            </w:hyperlink>
          </w:p>
        </w:tc>
      </w:tr>
      <w:tr w:rsidR="004E7E54" w:rsidTr="004E7E54">
        <w:trPr>
          <w:tblCellSpacing w:w="15" w:type="dxa"/>
        </w:trPr>
        <w:tc>
          <w:tcPr>
            <w:tcW w:w="0" w:type="auto"/>
            <w:vAlign w:val="center"/>
            <w:hideMark/>
          </w:tcPr>
          <w:p w:rsidR="004E7E54" w:rsidRDefault="004E7E54">
            <w:r>
              <w:t>Cielo</w:t>
            </w:r>
          </w:p>
        </w:tc>
        <w:tc>
          <w:tcPr>
            <w:tcW w:w="0" w:type="auto"/>
            <w:vAlign w:val="center"/>
            <w:hideMark/>
          </w:tcPr>
          <w:p w:rsidR="004E7E54" w:rsidRDefault="004E7E54">
            <w:r>
              <w:rPr>
                <w:rStyle w:val="ipa"/>
              </w:rPr>
              <w:t>[</w:t>
            </w:r>
            <w:proofErr w:type="spellStart"/>
            <w:r>
              <w:rPr>
                <w:rStyle w:val="ipa"/>
              </w:rPr>
              <w:t>ɾaʔi</w:t>
            </w:r>
            <w:proofErr w:type="spellEnd"/>
            <w:r>
              <w:rPr>
                <w:rStyle w:val="ipa"/>
              </w:rPr>
              <w:t>]</w:t>
            </w:r>
          </w:p>
        </w:tc>
        <w:tc>
          <w:tcPr>
            <w:tcW w:w="0" w:type="auto"/>
            <w:vAlign w:val="center"/>
            <w:hideMark/>
          </w:tcPr>
          <w:p w:rsidR="004E7E54" w:rsidRDefault="004E7E54">
            <w:r>
              <w:rPr>
                <w:rStyle w:val="ipa"/>
              </w:rPr>
              <w:t>[</w:t>
            </w:r>
            <w:proofErr w:type="spellStart"/>
            <w:r>
              <w:rPr>
                <w:rStyle w:val="ipa"/>
              </w:rPr>
              <w:t>ɾaŋi</w:t>
            </w:r>
            <w:proofErr w:type="spellEnd"/>
            <w:r>
              <w:rPr>
                <w:rStyle w:val="ipa"/>
              </w:rPr>
              <w:t>]</w:t>
            </w:r>
          </w:p>
        </w:tc>
        <w:tc>
          <w:tcPr>
            <w:tcW w:w="0" w:type="auto"/>
            <w:vAlign w:val="center"/>
            <w:hideMark/>
          </w:tcPr>
          <w:p w:rsidR="004E7E54" w:rsidRDefault="004E7E54">
            <w:r>
              <w:rPr>
                <w:rStyle w:val="ipa"/>
              </w:rPr>
              <w:t>[</w:t>
            </w:r>
            <w:proofErr w:type="spellStart"/>
            <w:r>
              <w:rPr>
                <w:rStyle w:val="ipa"/>
              </w:rPr>
              <w:t>ɾaŋi</w:t>
            </w:r>
            <w:proofErr w:type="spellEnd"/>
            <w:r>
              <w:rPr>
                <w:rStyle w:val="ipa"/>
              </w:rPr>
              <w:t>]</w:t>
            </w:r>
          </w:p>
        </w:tc>
      </w:tr>
      <w:tr w:rsidR="004E7E54" w:rsidTr="004E7E54">
        <w:trPr>
          <w:tblCellSpacing w:w="15" w:type="dxa"/>
        </w:trPr>
        <w:tc>
          <w:tcPr>
            <w:tcW w:w="0" w:type="auto"/>
            <w:vAlign w:val="center"/>
            <w:hideMark/>
          </w:tcPr>
          <w:p w:rsidR="004E7E54" w:rsidRDefault="004E7E54">
            <w:r>
              <w:t>Viento del norte</w:t>
            </w:r>
          </w:p>
        </w:tc>
        <w:tc>
          <w:tcPr>
            <w:tcW w:w="0" w:type="auto"/>
            <w:vAlign w:val="center"/>
            <w:hideMark/>
          </w:tcPr>
          <w:p w:rsidR="004E7E54" w:rsidRDefault="004E7E54">
            <w:r>
              <w:rPr>
                <w:rStyle w:val="ipa"/>
              </w:rPr>
              <w:t>[</w:t>
            </w:r>
            <w:proofErr w:type="spellStart"/>
            <w:r>
              <w:rPr>
                <w:rStyle w:val="ipa"/>
              </w:rPr>
              <w:t>toʔeɾau</w:t>
            </w:r>
            <w:proofErr w:type="spellEnd"/>
            <w:r>
              <w:rPr>
                <w:rStyle w:val="ipa"/>
              </w:rPr>
              <w:t>]</w:t>
            </w:r>
          </w:p>
        </w:tc>
        <w:tc>
          <w:tcPr>
            <w:tcW w:w="0" w:type="auto"/>
            <w:vAlign w:val="center"/>
            <w:hideMark/>
          </w:tcPr>
          <w:p w:rsidR="004E7E54" w:rsidRDefault="004E7E54">
            <w:r>
              <w:rPr>
                <w:rStyle w:val="ipa"/>
              </w:rPr>
              <w:t>[</w:t>
            </w:r>
            <w:proofErr w:type="spellStart"/>
            <w:r>
              <w:rPr>
                <w:rStyle w:val="ipa"/>
              </w:rPr>
              <w:t>tokeɾau</w:t>
            </w:r>
            <w:proofErr w:type="spellEnd"/>
            <w:r>
              <w:rPr>
                <w:rStyle w:val="ipa"/>
              </w:rPr>
              <w:t>]</w:t>
            </w:r>
          </w:p>
        </w:tc>
        <w:tc>
          <w:tcPr>
            <w:tcW w:w="0" w:type="auto"/>
            <w:vAlign w:val="center"/>
            <w:hideMark/>
          </w:tcPr>
          <w:p w:rsidR="004E7E54" w:rsidRDefault="004E7E54">
            <w:r>
              <w:rPr>
                <w:rStyle w:val="ipa"/>
              </w:rPr>
              <w:t>[</w:t>
            </w:r>
            <w:proofErr w:type="spellStart"/>
            <w:r>
              <w:rPr>
                <w:rStyle w:val="ipa"/>
              </w:rPr>
              <w:t>tokeɾau</w:t>
            </w:r>
            <w:proofErr w:type="spellEnd"/>
            <w:r>
              <w:rPr>
                <w:rStyle w:val="ipa"/>
              </w:rPr>
              <w:t>]</w:t>
            </w:r>
          </w:p>
        </w:tc>
      </w:tr>
      <w:tr w:rsidR="004E7E54" w:rsidTr="004E7E54">
        <w:trPr>
          <w:tblCellSpacing w:w="15" w:type="dxa"/>
        </w:trPr>
        <w:tc>
          <w:tcPr>
            <w:tcW w:w="0" w:type="auto"/>
            <w:vAlign w:val="center"/>
            <w:hideMark/>
          </w:tcPr>
          <w:p w:rsidR="004E7E54" w:rsidRDefault="004E7E54">
            <w:r>
              <w:t>Mujer</w:t>
            </w:r>
          </w:p>
        </w:tc>
        <w:tc>
          <w:tcPr>
            <w:tcW w:w="0" w:type="auto"/>
            <w:vAlign w:val="center"/>
            <w:hideMark/>
          </w:tcPr>
          <w:p w:rsidR="004E7E54" w:rsidRDefault="004E7E54">
            <w:r>
              <w:rPr>
                <w:rStyle w:val="ipa"/>
              </w:rPr>
              <w:t>[</w:t>
            </w:r>
            <w:proofErr w:type="spellStart"/>
            <w:r>
              <w:rPr>
                <w:rStyle w:val="ipa"/>
              </w:rPr>
              <w:t>vahine</w:t>
            </w:r>
            <w:proofErr w:type="spellEnd"/>
            <w:r>
              <w:rPr>
                <w:rStyle w:val="ipa"/>
              </w:rPr>
              <w:t>]</w:t>
            </w:r>
          </w:p>
        </w:tc>
        <w:tc>
          <w:tcPr>
            <w:tcW w:w="0" w:type="auto"/>
            <w:vAlign w:val="center"/>
            <w:hideMark/>
          </w:tcPr>
          <w:p w:rsidR="004E7E54" w:rsidRDefault="004E7E54">
            <w:r>
              <w:rPr>
                <w:rStyle w:val="ipa"/>
              </w:rPr>
              <w:t>[</w:t>
            </w:r>
            <w:proofErr w:type="spellStart"/>
            <w:r>
              <w:rPr>
                <w:rStyle w:val="ipa"/>
              </w:rPr>
              <w:t>wahine</w:t>
            </w:r>
            <w:proofErr w:type="spellEnd"/>
            <w:r>
              <w:rPr>
                <w:rStyle w:val="ipa"/>
              </w:rPr>
              <w:t>]</w:t>
            </w:r>
          </w:p>
        </w:tc>
        <w:tc>
          <w:tcPr>
            <w:tcW w:w="0" w:type="auto"/>
            <w:vAlign w:val="center"/>
            <w:hideMark/>
          </w:tcPr>
          <w:p w:rsidR="004E7E54" w:rsidRDefault="004E7E54">
            <w:r>
              <w:rPr>
                <w:rStyle w:val="ipa"/>
              </w:rPr>
              <w:t>[</w:t>
            </w:r>
            <w:proofErr w:type="spellStart"/>
            <w:r>
              <w:rPr>
                <w:rStyle w:val="ipa"/>
              </w:rPr>
              <w:t>vaʔine</w:t>
            </w:r>
            <w:proofErr w:type="spellEnd"/>
            <w:r>
              <w:rPr>
                <w:rStyle w:val="ipa"/>
              </w:rPr>
              <w:t>]</w:t>
            </w:r>
          </w:p>
        </w:tc>
      </w:tr>
      <w:tr w:rsidR="004E7E54" w:rsidTr="004E7E54">
        <w:trPr>
          <w:tblCellSpacing w:w="15" w:type="dxa"/>
        </w:trPr>
        <w:tc>
          <w:tcPr>
            <w:tcW w:w="0" w:type="auto"/>
            <w:vAlign w:val="center"/>
            <w:hideMark/>
          </w:tcPr>
          <w:p w:rsidR="004E7E54" w:rsidRDefault="004E7E54">
            <w:r>
              <w:t>Casa</w:t>
            </w:r>
          </w:p>
        </w:tc>
        <w:tc>
          <w:tcPr>
            <w:tcW w:w="0" w:type="auto"/>
            <w:vAlign w:val="center"/>
            <w:hideMark/>
          </w:tcPr>
          <w:p w:rsidR="004E7E54" w:rsidRDefault="004E7E54">
            <w:r>
              <w:rPr>
                <w:rStyle w:val="ipa"/>
              </w:rPr>
              <w:t>[</w:t>
            </w:r>
            <w:proofErr w:type="spellStart"/>
            <w:r>
              <w:rPr>
                <w:rStyle w:val="ipa"/>
              </w:rPr>
              <w:t>faɾe</w:t>
            </w:r>
            <w:proofErr w:type="spellEnd"/>
            <w:r>
              <w:rPr>
                <w:rStyle w:val="ipa"/>
              </w:rPr>
              <w:t>]</w:t>
            </w:r>
          </w:p>
        </w:tc>
        <w:tc>
          <w:tcPr>
            <w:tcW w:w="0" w:type="auto"/>
            <w:vAlign w:val="center"/>
            <w:hideMark/>
          </w:tcPr>
          <w:p w:rsidR="004E7E54" w:rsidRDefault="004E7E54">
            <w:r>
              <w:rPr>
                <w:rStyle w:val="ipa"/>
              </w:rPr>
              <w:t>[</w:t>
            </w:r>
            <w:proofErr w:type="spellStart"/>
            <w:r>
              <w:rPr>
                <w:rStyle w:val="ipa"/>
              </w:rPr>
              <w:t>ɸaɾe</w:t>
            </w:r>
            <w:proofErr w:type="spellEnd"/>
            <w:r>
              <w:rPr>
                <w:rStyle w:val="ipa"/>
              </w:rPr>
              <w:t>]</w:t>
            </w:r>
          </w:p>
        </w:tc>
        <w:tc>
          <w:tcPr>
            <w:tcW w:w="0" w:type="auto"/>
            <w:vAlign w:val="center"/>
            <w:hideMark/>
          </w:tcPr>
          <w:p w:rsidR="004E7E54" w:rsidRDefault="004E7E54">
            <w:r>
              <w:rPr>
                <w:rStyle w:val="ipa"/>
              </w:rPr>
              <w:t>[</w:t>
            </w:r>
            <w:proofErr w:type="spellStart"/>
            <w:r>
              <w:rPr>
                <w:rStyle w:val="ipa"/>
              </w:rPr>
              <w:t>ʔaɾe</w:t>
            </w:r>
            <w:proofErr w:type="spellEnd"/>
            <w:r>
              <w:rPr>
                <w:rStyle w:val="ipa"/>
              </w:rPr>
              <w:t>]</w:t>
            </w:r>
          </w:p>
        </w:tc>
      </w:tr>
      <w:tr w:rsidR="004E7E54" w:rsidTr="004E7E54">
        <w:trPr>
          <w:tblCellSpacing w:w="15" w:type="dxa"/>
        </w:trPr>
        <w:tc>
          <w:tcPr>
            <w:tcW w:w="0" w:type="auto"/>
            <w:vAlign w:val="center"/>
            <w:hideMark/>
          </w:tcPr>
          <w:p w:rsidR="004E7E54" w:rsidRDefault="004E7E54">
            <w:r>
              <w:t>Madre</w:t>
            </w:r>
          </w:p>
        </w:tc>
        <w:tc>
          <w:tcPr>
            <w:tcW w:w="0" w:type="auto"/>
            <w:vAlign w:val="center"/>
            <w:hideMark/>
          </w:tcPr>
          <w:p w:rsidR="004E7E54" w:rsidRDefault="004E7E54">
            <w:r>
              <w:rPr>
                <w:rStyle w:val="ipa"/>
              </w:rPr>
              <w:t>[</w:t>
            </w:r>
            <w:proofErr w:type="spellStart"/>
            <w:r>
              <w:rPr>
                <w:rStyle w:val="ipa"/>
              </w:rPr>
              <w:t>metua</w:t>
            </w:r>
            <w:proofErr w:type="spellEnd"/>
            <w:r>
              <w:rPr>
                <w:rStyle w:val="ipa"/>
              </w:rPr>
              <w:t xml:space="preserve"> </w:t>
            </w:r>
            <w:proofErr w:type="spellStart"/>
            <w:r>
              <w:rPr>
                <w:rStyle w:val="ipa"/>
              </w:rPr>
              <w:t>vahine</w:t>
            </w:r>
            <w:proofErr w:type="spellEnd"/>
            <w:r>
              <w:rPr>
                <w:rStyle w:val="ipa"/>
              </w:rPr>
              <w:t>]</w:t>
            </w:r>
          </w:p>
        </w:tc>
        <w:tc>
          <w:tcPr>
            <w:tcW w:w="0" w:type="auto"/>
            <w:vAlign w:val="center"/>
            <w:hideMark/>
          </w:tcPr>
          <w:p w:rsidR="004E7E54" w:rsidRDefault="004E7E54">
            <w:r>
              <w:rPr>
                <w:rStyle w:val="ipa"/>
              </w:rPr>
              <w:t>[</w:t>
            </w:r>
            <w:proofErr w:type="spellStart"/>
            <w:r>
              <w:rPr>
                <w:rStyle w:val="ipa"/>
              </w:rPr>
              <w:t>ɸaea</w:t>
            </w:r>
            <w:proofErr w:type="spellEnd"/>
            <w:r>
              <w:rPr>
                <w:rStyle w:val="ipa"/>
              </w:rPr>
              <w:t>]</w:t>
            </w:r>
          </w:p>
        </w:tc>
        <w:tc>
          <w:tcPr>
            <w:tcW w:w="0" w:type="auto"/>
            <w:vAlign w:val="center"/>
            <w:hideMark/>
          </w:tcPr>
          <w:p w:rsidR="004E7E54" w:rsidRDefault="004E7E54">
            <w:r>
              <w:rPr>
                <w:rStyle w:val="ipa"/>
              </w:rPr>
              <w:t>[</w:t>
            </w:r>
            <w:proofErr w:type="spellStart"/>
            <w:r>
              <w:rPr>
                <w:rStyle w:val="ipa"/>
              </w:rPr>
              <w:t>metua</w:t>
            </w:r>
            <w:proofErr w:type="spellEnd"/>
            <w:r>
              <w:rPr>
                <w:rStyle w:val="ipa"/>
              </w:rPr>
              <w:t>], [</w:t>
            </w:r>
            <w:proofErr w:type="spellStart"/>
            <w:r>
              <w:rPr>
                <w:rStyle w:val="ipa"/>
              </w:rPr>
              <w:t>ma:ma</w:t>
            </w:r>
            <w:proofErr w:type="spellEnd"/>
            <w:r>
              <w:rPr>
                <w:rStyle w:val="ipa"/>
              </w:rPr>
              <w:t>:]</w:t>
            </w:r>
          </w:p>
        </w:tc>
      </w:tr>
      <w:tr w:rsidR="004E7E54" w:rsidTr="004E7E54">
        <w:trPr>
          <w:tblCellSpacing w:w="15" w:type="dxa"/>
        </w:trPr>
        <w:tc>
          <w:tcPr>
            <w:tcW w:w="0" w:type="auto"/>
            <w:vAlign w:val="center"/>
            <w:hideMark/>
          </w:tcPr>
          <w:p w:rsidR="004E7E54" w:rsidRDefault="004E7E54">
            <w:r>
              <w:t>Padre</w:t>
            </w:r>
          </w:p>
        </w:tc>
        <w:tc>
          <w:tcPr>
            <w:tcW w:w="0" w:type="auto"/>
            <w:vAlign w:val="center"/>
            <w:hideMark/>
          </w:tcPr>
          <w:p w:rsidR="004E7E54" w:rsidRDefault="004E7E54">
            <w:r>
              <w:rPr>
                <w:rStyle w:val="ipa"/>
              </w:rPr>
              <w:t>[</w:t>
            </w:r>
            <w:proofErr w:type="spellStart"/>
            <w:r>
              <w:rPr>
                <w:rStyle w:val="ipa"/>
              </w:rPr>
              <w:t>metua</w:t>
            </w:r>
            <w:proofErr w:type="spellEnd"/>
            <w:r>
              <w:rPr>
                <w:rStyle w:val="ipa"/>
              </w:rPr>
              <w:t xml:space="preserve"> </w:t>
            </w:r>
            <w:proofErr w:type="spellStart"/>
            <w:r>
              <w:rPr>
                <w:rStyle w:val="ipa"/>
              </w:rPr>
              <w:t>ta:ne</w:t>
            </w:r>
            <w:proofErr w:type="spellEnd"/>
            <w:r>
              <w:rPr>
                <w:rStyle w:val="ipa"/>
              </w:rPr>
              <w:t>]</w:t>
            </w:r>
          </w:p>
        </w:tc>
        <w:tc>
          <w:tcPr>
            <w:tcW w:w="0" w:type="auto"/>
            <w:vAlign w:val="center"/>
            <w:hideMark/>
          </w:tcPr>
          <w:p w:rsidR="004E7E54" w:rsidRDefault="004E7E54">
            <w:r>
              <w:rPr>
                <w:rStyle w:val="ipa"/>
              </w:rPr>
              <w:t>[</w:t>
            </w:r>
            <w:proofErr w:type="spellStart"/>
            <w:r>
              <w:rPr>
                <w:rStyle w:val="ipa"/>
              </w:rPr>
              <w:t>matua</w:t>
            </w:r>
            <w:proofErr w:type="spellEnd"/>
            <w:r>
              <w:rPr>
                <w:rStyle w:val="ipa"/>
              </w:rPr>
              <w:t>], [</w:t>
            </w:r>
            <w:proofErr w:type="spellStart"/>
            <w:r>
              <w:rPr>
                <w:rStyle w:val="ipa"/>
              </w:rPr>
              <w:t>pa:pa</w:t>
            </w:r>
            <w:proofErr w:type="spellEnd"/>
            <w:r>
              <w:rPr>
                <w:rStyle w:val="ipa"/>
              </w:rPr>
              <w:t>:]</w:t>
            </w:r>
          </w:p>
        </w:tc>
        <w:tc>
          <w:tcPr>
            <w:tcW w:w="0" w:type="auto"/>
            <w:vAlign w:val="center"/>
            <w:hideMark/>
          </w:tcPr>
          <w:p w:rsidR="004E7E54" w:rsidRDefault="004E7E54">
            <w:r>
              <w:rPr>
                <w:rStyle w:val="ipa"/>
              </w:rPr>
              <w:t>[</w:t>
            </w:r>
            <w:proofErr w:type="spellStart"/>
            <w:r>
              <w:rPr>
                <w:rStyle w:val="ipa"/>
              </w:rPr>
              <w:t>matua</w:t>
            </w:r>
            <w:proofErr w:type="spellEnd"/>
            <w:r>
              <w:rPr>
                <w:rStyle w:val="ipa"/>
              </w:rPr>
              <w:t>], [</w:t>
            </w:r>
            <w:proofErr w:type="spellStart"/>
            <w:r>
              <w:rPr>
                <w:rStyle w:val="ipa"/>
              </w:rPr>
              <w:t>pa:pa</w:t>
            </w:r>
            <w:proofErr w:type="spellEnd"/>
            <w:r>
              <w:rPr>
                <w:rStyle w:val="ipa"/>
              </w:rPr>
              <w:t>:]</w:t>
            </w:r>
          </w:p>
        </w:tc>
      </w:tr>
    </w:tbl>
    <w:p w:rsidR="004E7E54" w:rsidRDefault="004E7E54" w:rsidP="004E7E54">
      <w:pPr>
        <w:pStyle w:val="NormalWeb"/>
      </w:pPr>
      <w:r>
        <w:t>La naturaleza oral de las lenguas polinesias ha dificultado que se pudiera hacer un seguimiento de la evol</w:t>
      </w:r>
      <w:r>
        <w:t>u</w:t>
      </w:r>
      <w:r>
        <w:t xml:space="preserve">ción y transformación del tahitiano, así como también lo ha hecho para el resto de lenguas de la familia. Asimismo, la oralidad de esta lengua ha impedido la fijación escrita, favoreciendo las transformaciones. Por esto mismo, es difícil calcular con precisión el </w:t>
      </w:r>
      <w:proofErr w:type="spellStart"/>
      <w:r>
        <w:t>momenrto</w:t>
      </w:r>
      <w:proofErr w:type="spellEnd"/>
      <w:r>
        <w:t xml:space="preserve"> de la aparición diferenciada del tahitiano dentro de la familia de las lenguas </w:t>
      </w:r>
      <w:proofErr w:type="spellStart"/>
      <w:r>
        <w:t>tahíticas</w:t>
      </w:r>
      <w:proofErr w:type="spellEnd"/>
      <w:r>
        <w:t xml:space="preserve">. Solamente los restos materiales, la </w:t>
      </w:r>
      <w:hyperlink r:id="rId81" w:tooltip="Etnografía" w:history="1">
        <w:r>
          <w:rPr>
            <w:rStyle w:val="Hipervnculo"/>
          </w:rPr>
          <w:t>etnografía</w:t>
        </w:r>
      </w:hyperlink>
      <w:r>
        <w:t xml:space="preserve"> y el estudio de las coloniz</w:t>
      </w:r>
      <w:r>
        <w:t>a</w:t>
      </w:r>
      <w:r>
        <w:t xml:space="preserve">ciones pueden explicar la difusión lingüística en la Polinesia y su consiguiente fragmentación, pero impide precisar los cambios internos inmateriales, como la evolución de un dialecto </w:t>
      </w:r>
      <w:proofErr w:type="spellStart"/>
      <w:r>
        <w:t>tahítico</w:t>
      </w:r>
      <w:proofErr w:type="spellEnd"/>
      <w:r>
        <w:t xml:space="preserve"> a lengua, caso del tah</w:t>
      </w:r>
      <w:r>
        <w:t>i</w:t>
      </w:r>
      <w:r>
        <w:t xml:space="preserve">tiano. Hasta el </w:t>
      </w:r>
      <w:hyperlink r:id="rId82" w:tooltip="Siglo XVIII" w:history="1">
        <w:r>
          <w:rPr>
            <w:rStyle w:val="Hipervnculo"/>
          </w:rPr>
          <w:t>siglo XVIII</w:t>
        </w:r>
      </w:hyperlink>
      <w:r>
        <w:t xml:space="preserve"> no aparecieron los primeros textos en idioma tahitiano y llegaron de la mano de los europeos que exploraban los </w:t>
      </w:r>
      <w:hyperlink r:id="rId83" w:tooltip="Mares del sur (aún no redactado)" w:history="1">
        <w:r>
          <w:rPr>
            <w:rStyle w:val="Hipervnculo"/>
          </w:rPr>
          <w:t>mares del sur</w:t>
        </w:r>
      </w:hyperlink>
      <w:r>
        <w:t xml:space="preserve">, por lo que los errores son considerables y abunda la omisión de la </w:t>
      </w:r>
      <w:proofErr w:type="spellStart"/>
      <w:r>
        <w:t>glotal</w:t>
      </w:r>
      <w:proofErr w:type="spellEnd"/>
      <w:r>
        <w:t xml:space="preserve"> y de las vocales largas, incluso en los escritos de los misioneros británicos que llegaron a </w:t>
      </w:r>
      <w:hyperlink r:id="rId84" w:tooltip="Tahití" w:history="1">
        <w:r>
          <w:rPr>
            <w:rStyle w:val="Hipervnculo"/>
          </w:rPr>
          <w:t>Tahití</w:t>
        </w:r>
      </w:hyperlink>
      <w:r>
        <w:t xml:space="preserve"> a principios del </w:t>
      </w:r>
      <w:hyperlink r:id="rId85" w:tooltip="Siglo XIX" w:history="1">
        <w:r>
          <w:rPr>
            <w:rStyle w:val="Hipervnculo"/>
          </w:rPr>
          <w:t>siglo XIX</w:t>
        </w:r>
      </w:hyperlink>
      <w:r>
        <w:t xml:space="preserve">. La publicación de un libro íntegramente en tahitiano no llegó hasta el año </w:t>
      </w:r>
      <w:hyperlink r:id="rId86" w:tooltip="1810" w:history="1">
        <w:r>
          <w:rPr>
            <w:rStyle w:val="Hipervnculo"/>
          </w:rPr>
          <w:t>1810</w:t>
        </w:r>
      </w:hyperlink>
      <w:r>
        <w:t>.</w:t>
      </w:r>
      <w:hyperlink r:id="rId87" w:anchor="cite_note-Diccionario_Espasa-1" w:history="1">
        <w:r>
          <w:rPr>
            <w:rStyle w:val="Hipervnculo"/>
            <w:vertAlign w:val="superscript"/>
          </w:rPr>
          <w:t>1</w:t>
        </w:r>
      </w:hyperlink>
      <w:r>
        <w:t xml:space="preserve"> Con </w:t>
      </w:r>
      <w:proofErr w:type="spellStart"/>
      <w:r>
        <w:t>a</w:t>
      </w:r>
      <w:proofErr w:type="spellEnd"/>
      <w:r>
        <w:t xml:space="preserve"> anexión a </w:t>
      </w:r>
      <w:hyperlink r:id="rId88" w:tooltip="Francia" w:history="1">
        <w:r>
          <w:rPr>
            <w:rStyle w:val="Hipervnculo"/>
          </w:rPr>
          <w:t>Francia</w:t>
        </w:r>
      </w:hyperlink>
      <w:r>
        <w:t xml:space="preserve"> como colonia de Tahití y las Islas de la Sociedad en </w:t>
      </w:r>
      <w:hyperlink r:id="rId89" w:tooltip="1881" w:history="1">
        <w:r>
          <w:rPr>
            <w:rStyle w:val="Hipervnculo"/>
          </w:rPr>
          <w:t>1881</w:t>
        </w:r>
      </w:hyperlink>
      <w:r>
        <w:t>, irrumpió dentro del e</w:t>
      </w:r>
      <w:r>
        <w:t>s</w:t>
      </w:r>
      <w:r>
        <w:t xml:space="preserve">pacio polinesio el </w:t>
      </w:r>
      <w:hyperlink r:id="rId90" w:tooltip="Idioma francés" w:history="1">
        <w:r>
          <w:rPr>
            <w:rStyle w:val="Hipervnculo"/>
          </w:rPr>
          <w:t>idioma francés</w:t>
        </w:r>
      </w:hyperlink>
      <w:r>
        <w:t xml:space="preserve"> y una </w:t>
      </w:r>
      <w:proofErr w:type="spellStart"/>
      <w:r>
        <w:t>reculturización</w:t>
      </w:r>
      <w:proofErr w:type="spellEnd"/>
      <w:r>
        <w:t xml:space="preserve"> progresiva de la sociedad tahitiana, a costa de la le</w:t>
      </w:r>
      <w:r>
        <w:t>n</w:t>
      </w:r>
      <w:r>
        <w:t>gua y cultura originales.</w:t>
      </w:r>
    </w:p>
    <w:p w:rsidR="004E7E54" w:rsidRDefault="004E7E54" w:rsidP="004E7E54">
      <w:pPr>
        <w:pStyle w:val="Ttulo2"/>
      </w:pPr>
      <w:r>
        <w:rPr>
          <w:rStyle w:val="mw-headline"/>
        </w:rPr>
        <w:t>Gramática</w:t>
      </w:r>
    </w:p>
    <w:p w:rsidR="004E7E54" w:rsidRDefault="004E7E54" w:rsidP="004E7E54">
      <w:pPr>
        <w:pStyle w:val="Ttulo3"/>
      </w:pPr>
      <w:r>
        <w:rPr>
          <w:rStyle w:val="mw-headline"/>
        </w:rPr>
        <w:t>Fonética y ortografía</w:t>
      </w:r>
    </w:p>
    <w:p w:rsidR="004E7E54" w:rsidRDefault="004E7E54" w:rsidP="004E7E54">
      <w:pPr>
        <w:pStyle w:val="NormalWeb"/>
      </w:pPr>
      <w:r>
        <w:t xml:space="preserve">En tanto que lengua </w:t>
      </w:r>
      <w:proofErr w:type="spellStart"/>
      <w:r>
        <w:t>austronesia</w:t>
      </w:r>
      <w:proofErr w:type="spellEnd"/>
      <w:r>
        <w:t xml:space="preserve">, el tahitiano solamente dispone de catorce </w:t>
      </w:r>
      <w:hyperlink r:id="rId91" w:tooltip="Fonema" w:history="1">
        <w:r>
          <w:rPr>
            <w:rStyle w:val="Hipervnculo"/>
          </w:rPr>
          <w:t>fonemas</w:t>
        </w:r>
      </w:hyperlink>
      <w:r>
        <w:t>, a saber, nueve cons</w:t>
      </w:r>
      <w:r>
        <w:t>o</w:t>
      </w:r>
      <w:r>
        <w:t xml:space="preserve">nantes y cinco vocales. Se podría aumentar esta cifra a diecinueve fonemas si se computan los alargamientos vocálicos. Este hecho simplifica el alfabeto en comparación con los de las </w:t>
      </w:r>
      <w:hyperlink r:id="rId92" w:tooltip="Lenguas románicas" w:history="1">
        <w:r>
          <w:rPr>
            <w:rStyle w:val="Hipervnculo"/>
          </w:rPr>
          <w:t>lenguas románicas</w:t>
        </w:r>
      </w:hyperlink>
      <w:r>
        <w:t>, ya que sólo necesita catorce letras.</w:t>
      </w:r>
    </w:p>
    <w:p w:rsidR="004E7E54" w:rsidRDefault="004E7E54" w:rsidP="004E7E54">
      <w:pPr>
        <w:pStyle w:val="NormalWeb"/>
      </w:pPr>
      <w:r>
        <w:t>El alfabeto tahitiano es el siguiente:</w:t>
      </w:r>
    </w:p>
    <w:tbl>
      <w:tblPr>
        <w:tblW w:w="1500" w:type="pct"/>
        <w:tblCellSpacing w:w="15" w:type="dxa"/>
        <w:tblCellMar>
          <w:top w:w="15" w:type="dxa"/>
          <w:left w:w="15" w:type="dxa"/>
          <w:bottom w:w="15" w:type="dxa"/>
          <w:right w:w="15" w:type="dxa"/>
        </w:tblCellMar>
        <w:tblLook w:val="04A0"/>
      </w:tblPr>
      <w:tblGrid>
        <w:gridCol w:w="1267"/>
        <w:gridCol w:w="1900"/>
      </w:tblGrid>
      <w:tr w:rsidR="004E7E54" w:rsidTr="004E7E54">
        <w:trPr>
          <w:tblCellSpacing w:w="15" w:type="dxa"/>
        </w:trPr>
        <w:tc>
          <w:tcPr>
            <w:tcW w:w="0" w:type="auto"/>
            <w:vAlign w:val="center"/>
            <w:hideMark/>
          </w:tcPr>
          <w:p w:rsidR="004E7E54" w:rsidRDefault="004E7E54">
            <w:pPr>
              <w:jc w:val="center"/>
              <w:rPr>
                <w:b/>
                <w:bCs/>
              </w:rPr>
            </w:pPr>
            <w:r>
              <w:rPr>
                <w:b/>
                <w:bCs/>
              </w:rPr>
              <w:t>Letra</w:t>
            </w:r>
          </w:p>
        </w:tc>
        <w:tc>
          <w:tcPr>
            <w:tcW w:w="0" w:type="auto"/>
            <w:vAlign w:val="center"/>
            <w:hideMark/>
          </w:tcPr>
          <w:p w:rsidR="004E7E54" w:rsidRDefault="004E7E54">
            <w:pPr>
              <w:jc w:val="center"/>
              <w:rPr>
                <w:b/>
                <w:bCs/>
              </w:rPr>
            </w:pPr>
            <w:r>
              <w:rPr>
                <w:b/>
                <w:bCs/>
              </w:rPr>
              <w:t>Nombre</w:t>
            </w:r>
          </w:p>
        </w:tc>
      </w:tr>
      <w:tr w:rsidR="004E7E54" w:rsidTr="004E7E54">
        <w:trPr>
          <w:tblCellSpacing w:w="15" w:type="dxa"/>
        </w:trPr>
        <w:tc>
          <w:tcPr>
            <w:tcW w:w="0" w:type="auto"/>
            <w:vAlign w:val="center"/>
            <w:hideMark/>
          </w:tcPr>
          <w:p w:rsidR="004E7E54" w:rsidRDefault="004E7E54">
            <w:pPr>
              <w:jc w:val="center"/>
            </w:pPr>
            <w:r>
              <w:rPr>
                <w:b/>
                <w:bCs/>
              </w:rPr>
              <w:t>a</w:t>
            </w:r>
          </w:p>
        </w:tc>
        <w:tc>
          <w:tcPr>
            <w:tcW w:w="0" w:type="auto"/>
            <w:vAlign w:val="center"/>
            <w:hideMark/>
          </w:tcPr>
          <w:p w:rsidR="004E7E54" w:rsidRDefault="004E7E54">
            <w:pPr>
              <w:jc w:val="center"/>
            </w:pPr>
            <w:r>
              <w:t>’ā</w:t>
            </w:r>
          </w:p>
        </w:tc>
      </w:tr>
      <w:tr w:rsidR="004E7E54" w:rsidTr="004E7E54">
        <w:trPr>
          <w:tblCellSpacing w:w="15" w:type="dxa"/>
        </w:trPr>
        <w:tc>
          <w:tcPr>
            <w:tcW w:w="0" w:type="auto"/>
            <w:vAlign w:val="center"/>
            <w:hideMark/>
          </w:tcPr>
          <w:p w:rsidR="004E7E54" w:rsidRDefault="004E7E54">
            <w:pPr>
              <w:jc w:val="center"/>
            </w:pPr>
            <w:r>
              <w:rPr>
                <w:b/>
                <w:bCs/>
              </w:rPr>
              <w:t>e</w:t>
            </w:r>
          </w:p>
        </w:tc>
        <w:tc>
          <w:tcPr>
            <w:tcW w:w="0" w:type="auto"/>
            <w:vAlign w:val="center"/>
            <w:hideMark/>
          </w:tcPr>
          <w:p w:rsidR="004E7E54" w:rsidRDefault="004E7E54">
            <w:pPr>
              <w:jc w:val="center"/>
            </w:pPr>
            <w:r>
              <w:t>’ē</w:t>
            </w:r>
          </w:p>
        </w:tc>
      </w:tr>
      <w:tr w:rsidR="004E7E54" w:rsidTr="004E7E54">
        <w:trPr>
          <w:tblCellSpacing w:w="15" w:type="dxa"/>
        </w:trPr>
        <w:tc>
          <w:tcPr>
            <w:tcW w:w="0" w:type="auto"/>
            <w:vAlign w:val="center"/>
            <w:hideMark/>
          </w:tcPr>
          <w:p w:rsidR="004E7E54" w:rsidRDefault="004E7E54">
            <w:pPr>
              <w:jc w:val="center"/>
            </w:pPr>
            <w:r>
              <w:rPr>
                <w:b/>
                <w:bCs/>
              </w:rPr>
              <w:t>f</w:t>
            </w:r>
          </w:p>
        </w:tc>
        <w:tc>
          <w:tcPr>
            <w:tcW w:w="0" w:type="auto"/>
            <w:vAlign w:val="center"/>
            <w:hideMark/>
          </w:tcPr>
          <w:p w:rsidR="004E7E54" w:rsidRDefault="004E7E54">
            <w:pPr>
              <w:jc w:val="center"/>
            </w:pPr>
            <w:proofErr w:type="spellStart"/>
            <w:r>
              <w:t>fā</w:t>
            </w:r>
            <w:proofErr w:type="spellEnd"/>
          </w:p>
        </w:tc>
      </w:tr>
      <w:tr w:rsidR="004E7E54" w:rsidTr="004E7E54">
        <w:trPr>
          <w:tblCellSpacing w:w="15" w:type="dxa"/>
        </w:trPr>
        <w:tc>
          <w:tcPr>
            <w:tcW w:w="0" w:type="auto"/>
            <w:vAlign w:val="center"/>
            <w:hideMark/>
          </w:tcPr>
          <w:p w:rsidR="004E7E54" w:rsidRDefault="004E7E54">
            <w:pPr>
              <w:jc w:val="center"/>
            </w:pPr>
            <w:r>
              <w:rPr>
                <w:b/>
                <w:bCs/>
              </w:rPr>
              <w:t>h</w:t>
            </w:r>
          </w:p>
        </w:tc>
        <w:tc>
          <w:tcPr>
            <w:tcW w:w="0" w:type="auto"/>
            <w:vAlign w:val="center"/>
            <w:hideMark/>
          </w:tcPr>
          <w:p w:rsidR="004E7E54" w:rsidRDefault="004E7E54">
            <w:pPr>
              <w:jc w:val="center"/>
            </w:pPr>
            <w:proofErr w:type="spellStart"/>
            <w:r>
              <w:t>hē</w:t>
            </w:r>
            <w:proofErr w:type="spellEnd"/>
          </w:p>
        </w:tc>
      </w:tr>
      <w:tr w:rsidR="004E7E54" w:rsidTr="004E7E54">
        <w:trPr>
          <w:tblCellSpacing w:w="15" w:type="dxa"/>
        </w:trPr>
        <w:tc>
          <w:tcPr>
            <w:tcW w:w="0" w:type="auto"/>
            <w:vAlign w:val="center"/>
            <w:hideMark/>
          </w:tcPr>
          <w:p w:rsidR="004E7E54" w:rsidRDefault="004E7E54">
            <w:pPr>
              <w:jc w:val="center"/>
            </w:pPr>
            <w:r>
              <w:rPr>
                <w:b/>
                <w:bCs/>
              </w:rPr>
              <w:t>i</w:t>
            </w:r>
          </w:p>
        </w:tc>
        <w:tc>
          <w:tcPr>
            <w:tcW w:w="0" w:type="auto"/>
            <w:vAlign w:val="center"/>
            <w:hideMark/>
          </w:tcPr>
          <w:p w:rsidR="004E7E54" w:rsidRDefault="004E7E54">
            <w:pPr>
              <w:jc w:val="center"/>
            </w:pPr>
            <w:r>
              <w:t>’ī</w:t>
            </w:r>
          </w:p>
        </w:tc>
      </w:tr>
      <w:tr w:rsidR="004E7E54" w:rsidTr="004E7E54">
        <w:trPr>
          <w:tblCellSpacing w:w="15" w:type="dxa"/>
        </w:trPr>
        <w:tc>
          <w:tcPr>
            <w:tcW w:w="0" w:type="auto"/>
            <w:vAlign w:val="center"/>
            <w:hideMark/>
          </w:tcPr>
          <w:p w:rsidR="004E7E54" w:rsidRDefault="004E7E54">
            <w:pPr>
              <w:jc w:val="center"/>
            </w:pPr>
            <w:r>
              <w:rPr>
                <w:b/>
                <w:bCs/>
              </w:rPr>
              <w:t>m</w:t>
            </w:r>
          </w:p>
        </w:tc>
        <w:tc>
          <w:tcPr>
            <w:tcW w:w="0" w:type="auto"/>
            <w:vAlign w:val="center"/>
            <w:hideMark/>
          </w:tcPr>
          <w:p w:rsidR="004E7E54" w:rsidRDefault="004E7E54">
            <w:pPr>
              <w:jc w:val="center"/>
            </w:pPr>
            <w:proofErr w:type="spellStart"/>
            <w:r>
              <w:t>mō</w:t>
            </w:r>
            <w:proofErr w:type="spellEnd"/>
          </w:p>
        </w:tc>
      </w:tr>
      <w:tr w:rsidR="004E7E54" w:rsidTr="004E7E54">
        <w:trPr>
          <w:tblCellSpacing w:w="15" w:type="dxa"/>
        </w:trPr>
        <w:tc>
          <w:tcPr>
            <w:tcW w:w="0" w:type="auto"/>
            <w:vAlign w:val="center"/>
            <w:hideMark/>
          </w:tcPr>
          <w:p w:rsidR="004E7E54" w:rsidRDefault="004E7E54">
            <w:pPr>
              <w:jc w:val="center"/>
            </w:pPr>
            <w:r>
              <w:rPr>
                <w:b/>
                <w:bCs/>
              </w:rPr>
              <w:t>n</w:t>
            </w:r>
          </w:p>
        </w:tc>
        <w:tc>
          <w:tcPr>
            <w:tcW w:w="0" w:type="auto"/>
            <w:vAlign w:val="center"/>
            <w:hideMark/>
          </w:tcPr>
          <w:p w:rsidR="004E7E54" w:rsidRDefault="004E7E54">
            <w:pPr>
              <w:jc w:val="center"/>
            </w:pPr>
            <w:proofErr w:type="spellStart"/>
            <w:r>
              <w:t>nū</w:t>
            </w:r>
            <w:proofErr w:type="spellEnd"/>
          </w:p>
        </w:tc>
      </w:tr>
      <w:tr w:rsidR="004E7E54" w:rsidTr="004E7E54">
        <w:trPr>
          <w:tblCellSpacing w:w="15" w:type="dxa"/>
        </w:trPr>
        <w:tc>
          <w:tcPr>
            <w:tcW w:w="0" w:type="auto"/>
            <w:vAlign w:val="center"/>
            <w:hideMark/>
          </w:tcPr>
          <w:p w:rsidR="004E7E54" w:rsidRDefault="004E7E54">
            <w:pPr>
              <w:jc w:val="center"/>
            </w:pPr>
            <w:r>
              <w:rPr>
                <w:b/>
                <w:bCs/>
              </w:rPr>
              <w:t>o</w:t>
            </w:r>
          </w:p>
        </w:tc>
        <w:tc>
          <w:tcPr>
            <w:tcW w:w="0" w:type="auto"/>
            <w:vAlign w:val="center"/>
            <w:hideMark/>
          </w:tcPr>
          <w:p w:rsidR="004E7E54" w:rsidRDefault="004E7E54">
            <w:pPr>
              <w:jc w:val="center"/>
            </w:pPr>
            <w:r>
              <w:t>’ō</w:t>
            </w:r>
          </w:p>
        </w:tc>
      </w:tr>
      <w:tr w:rsidR="004E7E54" w:rsidTr="004E7E54">
        <w:trPr>
          <w:tblCellSpacing w:w="15" w:type="dxa"/>
        </w:trPr>
        <w:tc>
          <w:tcPr>
            <w:tcW w:w="0" w:type="auto"/>
            <w:vAlign w:val="center"/>
            <w:hideMark/>
          </w:tcPr>
          <w:p w:rsidR="004E7E54" w:rsidRDefault="004E7E54">
            <w:pPr>
              <w:jc w:val="center"/>
            </w:pPr>
            <w:r>
              <w:rPr>
                <w:b/>
                <w:bCs/>
              </w:rPr>
              <w:t>p</w:t>
            </w:r>
          </w:p>
        </w:tc>
        <w:tc>
          <w:tcPr>
            <w:tcW w:w="0" w:type="auto"/>
            <w:vAlign w:val="center"/>
            <w:hideMark/>
          </w:tcPr>
          <w:p w:rsidR="004E7E54" w:rsidRDefault="004E7E54">
            <w:pPr>
              <w:jc w:val="center"/>
            </w:pPr>
            <w:proofErr w:type="spellStart"/>
            <w:r>
              <w:t>pī</w:t>
            </w:r>
            <w:proofErr w:type="spellEnd"/>
          </w:p>
        </w:tc>
      </w:tr>
      <w:tr w:rsidR="004E7E54" w:rsidTr="004E7E54">
        <w:trPr>
          <w:tblCellSpacing w:w="15" w:type="dxa"/>
        </w:trPr>
        <w:tc>
          <w:tcPr>
            <w:tcW w:w="0" w:type="auto"/>
            <w:vAlign w:val="center"/>
            <w:hideMark/>
          </w:tcPr>
          <w:p w:rsidR="004E7E54" w:rsidRDefault="004E7E54">
            <w:pPr>
              <w:jc w:val="center"/>
            </w:pPr>
            <w:r>
              <w:rPr>
                <w:b/>
                <w:bCs/>
              </w:rPr>
              <w:t>r</w:t>
            </w:r>
          </w:p>
        </w:tc>
        <w:tc>
          <w:tcPr>
            <w:tcW w:w="0" w:type="auto"/>
            <w:vAlign w:val="center"/>
            <w:hideMark/>
          </w:tcPr>
          <w:p w:rsidR="004E7E54" w:rsidRDefault="004E7E54">
            <w:pPr>
              <w:jc w:val="center"/>
            </w:pPr>
            <w:proofErr w:type="spellStart"/>
            <w:r>
              <w:t>rō</w:t>
            </w:r>
            <w:proofErr w:type="spellEnd"/>
          </w:p>
        </w:tc>
      </w:tr>
      <w:tr w:rsidR="004E7E54" w:rsidTr="004E7E54">
        <w:trPr>
          <w:tblCellSpacing w:w="15" w:type="dxa"/>
        </w:trPr>
        <w:tc>
          <w:tcPr>
            <w:tcW w:w="0" w:type="auto"/>
            <w:vAlign w:val="center"/>
            <w:hideMark/>
          </w:tcPr>
          <w:p w:rsidR="004E7E54" w:rsidRDefault="004E7E54">
            <w:pPr>
              <w:jc w:val="center"/>
            </w:pPr>
            <w:r>
              <w:rPr>
                <w:b/>
                <w:bCs/>
              </w:rPr>
              <w:t>t</w:t>
            </w:r>
          </w:p>
        </w:tc>
        <w:tc>
          <w:tcPr>
            <w:tcW w:w="0" w:type="auto"/>
            <w:vAlign w:val="center"/>
            <w:hideMark/>
          </w:tcPr>
          <w:p w:rsidR="004E7E54" w:rsidRDefault="004E7E54">
            <w:pPr>
              <w:jc w:val="center"/>
            </w:pPr>
            <w:proofErr w:type="spellStart"/>
            <w:r>
              <w:t>tī</w:t>
            </w:r>
            <w:proofErr w:type="spellEnd"/>
          </w:p>
        </w:tc>
      </w:tr>
      <w:tr w:rsidR="004E7E54" w:rsidTr="004E7E54">
        <w:trPr>
          <w:tblCellSpacing w:w="15" w:type="dxa"/>
        </w:trPr>
        <w:tc>
          <w:tcPr>
            <w:tcW w:w="0" w:type="auto"/>
            <w:vAlign w:val="center"/>
            <w:hideMark/>
          </w:tcPr>
          <w:p w:rsidR="004E7E54" w:rsidRDefault="004E7E54">
            <w:pPr>
              <w:jc w:val="center"/>
            </w:pPr>
            <w:r>
              <w:rPr>
                <w:b/>
                <w:bCs/>
              </w:rPr>
              <w:t>u</w:t>
            </w:r>
          </w:p>
        </w:tc>
        <w:tc>
          <w:tcPr>
            <w:tcW w:w="0" w:type="auto"/>
            <w:vAlign w:val="center"/>
            <w:hideMark/>
          </w:tcPr>
          <w:p w:rsidR="004E7E54" w:rsidRDefault="004E7E54">
            <w:pPr>
              <w:jc w:val="center"/>
            </w:pPr>
            <w:r>
              <w:t>’ū</w:t>
            </w:r>
          </w:p>
        </w:tc>
      </w:tr>
      <w:tr w:rsidR="004E7E54" w:rsidTr="004E7E54">
        <w:trPr>
          <w:tblCellSpacing w:w="15" w:type="dxa"/>
        </w:trPr>
        <w:tc>
          <w:tcPr>
            <w:tcW w:w="0" w:type="auto"/>
            <w:vAlign w:val="center"/>
            <w:hideMark/>
          </w:tcPr>
          <w:p w:rsidR="004E7E54" w:rsidRDefault="004E7E54">
            <w:pPr>
              <w:jc w:val="center"/>
            </w:pPr>
            <w:r>
              <w:rPr>
                <w:b/>
                <w:bCs/>
              </w:rPr>
              <w:t>v</w:t>
            </w:r>
          </w:p>
        </w:tc>
        <w:tc>
          <w:tcPr>
            <w:tcW w:w="0" w:type="auto"/>
            <w:vAlign w:val="center"/>
            <w:hideMark/>
          </w:tcPr>
          <w:p w:rsidR="004E7E54" w:rsidRDefault="004E7E54">
            <w:pPr>
              <w:jc w:val="center"/>
            </w:pPr>
            <w:proofErr w:type="spellStart"/>
            <w:r>
              <w:t>vī</w:t>
            </w:r>
            <w:proofErr w:type="spellEnd"/>
          </w:p>
        </w:tc>
      </w:tr>
      <w:tr w:rsidR="004E7E54" w:rsidTr="004E7E54">
        <w:trPr>
          <w:tblCellSpacing w:w="15" w:type="dxa"/>
        </w:trPr>
        <w:tc>
          <w:tcPr>
            <w:tcW w:w="0" w:type="auto"/>
            <w:vAlign w:val="center"/>
            <w:hideMark/>
          </w:tcPr>
          <w:p w:rsidR="004E7E54" w:rsidRDefault="004E7E54">
            <w:pPr>
              <w:jc w:val="center"/>
            </w:pPr>
            <w:r>
              <w:rPr>
                <w:b/>
                <w:bCs/>
              </w:rPr>
              <w:t>’</w:t>
            </w:r>
          </w:p>
        </w:tc>
        <w:tc>
          <w:tcPr>
            <w:tcW w:w="0" w:type="auto"/>
            <w:vAlign w:val="center"/>
            <w:hideMark/>
          </w:tcPr>
          <w:p w:rsidR="004E7E54" w:rsidRDefault="004E7E54">
            <w:pPr>
              <w:jc w:val="center"/>
            </w:pPr>
            <w:r>
              <w:t>’eta</w:t>
            </w:r>
          </w:p>
        </w:tc>
      </w:tr>
    </w:tbl>
    <w:p w:rsidR="004E7E54" w:rsidRDefault="004E7E54" w:rsidP="004E7E54">
      <w:pPr>
        <w:pStyle w:val="NormalWeb"/>
      </w:pPr>
      <w:r>
        <w:lastRenderedPageBreak/>
        <w:t xml:space="preserve">La letra </w:t>
      </w:r>
      <w:r>
        <w:rPr>
          <w:i/>
          <w:iCs/>
        </w:rPr>
        <w:t>’eta</w:t>
      </w:r>
      <w:r>
        <w:t xml:space="preserve"> es muy característica de las lenguas polinesias. Indica la </w:t>
      </w:r>
      <w:hyperlink r:id="rId93" w:tooltip="Oclusiva glotal" w:history="1">
        <w:r>
          <w:rPr>
            <w:rStyle w:val="Hipervnculo"/>
          </w:rPr>
          <w:t xml:space="preserve">oclusiva </w:t>
        </w:r>
        <w:proofErr w:type="spellStart"/>
        <w:r>
          <w:rPr>
            <w:rStyle w:val="Hipervnculo"/>
          </w:rPr>
          <w:t>glotal</w:t>
        </w:r>
        <w:proofErr w:type="spellEnd"/>
      </w:hyperlink>
      <w:r>
        <w:t xml:space="preserve"> ([ʔ]). La escritura de esta letra, a diferencia de la </w:t>
      </w:r>
      <w:proofErr w:type="spellStart"/>
      <w:r>
        <w:t>ʻokina</w:t>
      </w:r>
      <w:proofErr w:type="spellEnd"/>
      <w:r>
        <w:t xml:space="preserve"> </w:t>
      </w:r>
      <w:hyperlink r:id="rId94" w:tooltip="Idioma hawaiano" w:history="1">
        <w:r>
          <w:rPr>
            <w:rStyle w:val="Hipervnculo"/>
          </w:rPr>
          <w:t>hawaiana</w:t>
        </w:r>
      </w:hyperlink>
      <w:r>
        <w:t xml:space="preserve">, se hace como un </w:t>
      </w:r>
      <w:hyperlink r:id="rId95" w:tooltip="Apóstrofo" w:history="1">
        <w:r>
          <w:rPr>
            <w:rStyle w:val="Hipervnculo"/>
          </w:rPr>
          <w:t>apóstrofo</w:t>
        </w:r>
      </w:hyperlink>
      <w:r>
        <w:t xml:space="preserve"> tipográfico ( </w:t>
      </w:r>
      <w:r>
        <w:rPr>
          <w:i/>
          <w:iCs/>
        </w:rPr>
        <w:t>’</w:t>
      </w:r>
      <w:r>
        <w:t xml:space="preserve"> ), pero si no se di</w:t>
      </w:r>
      <w:r>
        <w:t>s</w:t>
      </w:r>
      <w:r>
        <w:t xml:space="preserve">pone de él en el teclado se puede transcribir como un apóstrofo recto ('). Cabe indicar que esta es la opción adoptada por la </w:t>
      </w:r>
      <w:hyperlink r:id="rId96" w:tooltip="Academia Tahitiana" w:history="1">
        <w:r>
          <w:rPr>
            <w:rStyle w:val="Hipervnculo"/>
          </w:rPr>
          <w:t>Academia Tahitiana</w:t>
        </w:r>
      </w:hyperlink>
      <w:r>
        <w:t xml:space="preserve"> que es la entidad oficial encargada de fijar las normas ortográficas y gramaticales del tahitiano en la </w:t>
      </w:r>
      <w:hyperlink r:id="rId97" w:tooltip="Polinesia Francesa" w:history="1">
        <w:r>
          <w:rPr>
            <w:rStyle w:val="Hipervnculo"/>
          </w:rPr>
          <w:t>Polinesia Francesa</w:t>
        </w:r>
      </w:hyperlink>
      <w:r>
        <w:t>, pero que no dispone de la aceptación unánime de la c</w:t>
      </w:r>
      <w:r>
        <w:t>o</w:t>
      </w:r>
      <w:r>
        <w:t xml:space="preserve">munidad filológica de </w:t>
      </w:r>
      <w:hyperlink r:id="rId98" w:tooltip="Tahití" w:history="1">
        <w:r>
          <w:rPr>
            <w:rStyle w:val="Hipervnculo"/>
          </w:rPr>
          <w:t>Tahití</w:t>
        </w:r>
      </w:hyperlink>
      <w:r>
        <w:t xml:space="preserve"> y a menudo se encuentran profesores o medios de comunicación escritos que usan otras reglas ortográficas, como el sistema Raapoto.</w:t>
      </w:r>
      <w:hyperlink r:id="rId99" w:anchor="cite_note-Raapoto-2" w:history="1">
        <w:r>
          <w:rPr>
            <w:rStyle w:val="Hipervnculo"/>
            <w:vertAlign w:val="superscript"/>
          </w:rPr>
          <w:t>2</w:t>
        </w:r>
      </w:hyperlink>
      <w:r>
        <w:t xml:space="preserve"> El sistema </w:t>
      </w:r>
      <w:proofErr w:type="spellStart"/>
      <w:r>
        <w:t>Raapoto</w:t>
      </w:r>
      <w:proofErr w:type="spellEnd"/>
      <w:r>
        <w:t xml:space="preserve"> (que debe el nombre al su creador </w:t>
      </w:r>
      <w:hyperlink r:id="rId100" w:tooltip="Turo a Raapoto (aún no redactado)" w:history="1">
        <w:r>
          <w:rPr>
            <w:rStyle w:val="Hipervnculo"/>
          </w:rPr>
          <w:t xml:space="preserve">Turo a </w:t>
        </w:r>
        <w:proofErr w:type="spellStart"/>
        <w:r>
          <w:rPr>
            <w:rStyle w:val="Hipervnculo"/>
          </w:rPr>
          <w:t>Raapoto</w:t>
        </w:r>
        <w:proofErr w:type="spellEnd"/>
      </w:hyperlink>
      <w:r>
        <w:t xml:space="preserve">) indica el golpe de glotis sobre la misma vocal como un acento abierto (`): </w:t>
      </w:r>
      <w:r>
        <w:rPr>
          <w:i/>
          <w:iCs/>
        </w:rPr>
        <w:t>à</w:t>
      </w:r>
      <w:r>
        <w:t xml:space="preserve">, </w:t>
      </w:r>
      <w:r>
        <w:rPr>
          <w:i/>
          <w:iCs/>
        </w:rPr>
        <w:t>è</w:t>
      </w:r>
      <w:r>
        <w:t xml:space="preserve">, </w:t>
      </w:r>
      <w:r>
        <w:rPr>
          <w:i/>
          <w:iCs/>
        </w:rPr>
        <w:t>ì</w:t>
      </w:r>
      <w:r>
        <w:t xml:space="preserve">, </w:t>
      </w:r>
      <w:r>
        <w:rPr>
          <w:i/>
          <w:iCs/>
        </w:rPr>
        <w:t>ò</w:t>
      </w:r>
      <w:r>
        <w:t xml:space="preserve">, </w:t>
      </w:r>
      <w:r>
        <w:rPr>
          <w:i/>
          <w:iCs/>
        </w:rPr>
        <w:t>ù</w:t>
      </w:r>
      <w:r>
        <w:t xml:space="preserve">. Cuando se combina con un alargamiento vocálico (el cual </w:t>
      </w:r>
      <w:proofErr w:type="spellStart"/>
      <w:r>
        <w:t>Raapoto</w:t>
      </w:r>
      <w:proofErr w:type="spellEnd"/>
      <w:r>
        <w:t xml:space="preserve">, como la academia, indica con un </w:t>
      </w:r>
      <w:hyperlink r:id="rId101" w:tooltip="Macrón" w:history="1">
        <w:proofErr w:type="spellStart"/>
        <w:r>
          <w:rPr>
            <w:rStyle w:val="Hipervnculo"/>
          </w:rPr>
          <w:t>macrón</w:t>
        </w:r>
        <w:proofErr w:type="spellEnd"/>
      </w:hyperlink>
      <w:r>
        <w:t xml:space="preserve">) se representa con un acento circunflejo (^): </w:t>
      </w:r>
      <w:r>
        <w:rPr>
          <w:i/>
          <w:iCs/>
        </w:rPr>
        <w:t>â</w:t>
      </w:r>
      <w:r>
        <w:t xml:space="preserve">, </w:t>
      </w:r>
      <w:r>
        <w:rPr>
          <w:i/>
          <w:iCs/>
        </w:rPr>
        <w:t>ê</w:t>
      </w:r>
      <w:r>
        <w:t xml:space="preserve">, </w:t>
      </w:r>
      <w:r>
        <w:rPr>
          <w:i/>
          <w:iCs/>
        </w:rPr>
        <w:t>î</w:t>
      </w:r>
      <w:r>
        <w:t xml:space="preserve">, </w:t>
      </w:r>
      <w:r>
        <w:rPr>
          <w:i/>
          <w:iCs/>
        </w:rPr>
        <w:t>ô</w:t>
      </w:r>
      <w:r>
        <w:t xml:space="preserve">, </w:t>
      </w:r>
      <w:r>
        <w:rPr>
          <w:i/>
          <w:iCs/>
        </w:rPr>
        <w:t>û</w:t>
      </w:r>
      <w:r>
        <w:t>. Actualmente se trata de una opción ortogr</w:t>
      </w:r>
      <w:r>
        <w:t>á</w:t>
      </w:r>
      <w:r>
        <w:t>fica en retroceso a causa de la implantación progresiva y la mayor aceptación de las normas de la academia. Además, las normas de la academia tahitiana siguen los patrones ortográficos adoptados por las lenguas e</w:t>
      </w:r>
      <w:r>
        <w:t>m</w:t>
      </w:r>
      <w:r>
        <w:t xml:space="preserve">parentadas con el tahitiano, como el </w:t>
      </w:r>
      <w:hyperlink r:id="rId102" w:tooltip="Idioma tongano" w:history="1">
        <w:r>
          <w:rPr>
            <w:rStyle w:val="Hipervnculo"/>
          </w:rPr>
          <w:t>tongano</w:t>
        </w:r>
      </w:hyperlink>
      <w:r>
        <w:t xml:space="preserve">, el </w:t>
      </w:r>
      <w:hyperlink r:id="rId103" w:tooltip="Idioma samoano" w:history="1">
        <w:r>
          <w:rPr>
            <w:rStyle w:val="Hipervnculo"/>
          </w:rPr>
          <w:t>samoano</w:t>
        </w:r>
      </w:hyperlink>
      <w:r>
        <w:t xml:space="preserve"> o el </w:t>
      </w:r>
      <w:hyperlink r:id="rId104" w:tooltip="Idioma hawaiano" w:history="1">
        <w:r>
          <w:rPr>
            <w:rStyle w:val="Hipervnculo"/>
          </w:rPr>
          <w:t>hawaiano</w:t>
        </w:r>
      </w:hyperlink>
      <w:r>
        <w:t xml:space="preserve"> y esto le da más fuerza argumental frente a otras normas ortográficas del tahitiano. En cualquier caso, el tahitiano se caracteriza por tener más </w:t>
      </w:r>
      <w:r>
        <w:rPr>
          <w:i/>
          <w:iCs/>
        </w:rPr>
        <w:t>’eta</w:t>
      </w:r>
      <w:r>
        <w:t>s a principio de palabra, dificultando su visualización, el uso de mayúsculas y el orden alfabético.</w:t>
      </w:r>
    </w:p>
    <w:p w:rsidR="004E7E54" w:rsidRDefault="004E7E54" w:rsidP="004E7E54">
      <w:pPr>
        <w:pStyle w:val="NormalWeb"/>
      </w:pPr>
      <w:r>
        <w:t>El sistema fonético del tahitiano se configura como sigue:</w:t>
      </w:r>
    </w:p>
    <w:p w:rsidR="004E7E54" w:rsidRDefault="00FE7F35" w:rsidP="004E7E54">
      <w:pPr>
        <w:shd w:val="clear" w:color="auto" w:fill="CCCCFF"/>
        <w:jc w:val="center"/>
      </w:pPr>
      <w:hyperlink r:id="rId105" w:tooltip="Consonante" w:history="1">
        <w:r w:rsidR="004E7E54">
          <w:rPr>
            <w:rStyle w:val="Hipervnculo"/>
            <w:b/>
            <w:bCs/>
          </w:rPr>
          <w:t>Consonantes</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255"/>
        <w:gridCol w:w="590"/>
        <w:gridCol w:w="651"/>
        <w:gridCol w:w="521"/>
        <w:gridCol w:w="574"/>
        <w:gridCol w:w="635"/>
        <w:gridCol w:w="700"/>
        <w:gridCol w:w="521"/>
        <w:gridCol w:w="574"/>
      </w:tblGrid>
      <w:tr w:rsidR="004E7E54" w:rsidTr="004E7E54">
        <w:tc>
          <w:tcPr>
            <w:tcW w:w="0" w:type="auto"/>
            <w:vMerge w:val="restart"/>
            <w:shd w:val="clear" w:color="auto" w:fill="F9F9F9"/>
            <w:vAlign w:val="center"/>
            <w:hideMark/>
          </w:tcPr>
          <w:p w:rsidR="004E7E54" w:rsidRDefault="004E7E54">
            <w:pPr>
              <w:spacing w:before="240" w:after="240"/>
              <w:jc w:val="center"/>
              <w:rPr>
                <w:b/>
                <w:bCs/>
              </w:rPr>
            </w:pPr>
            <w:r>
              <w:rPr>
                <w:b/>
                <w:bCs/>
              </w:rPr>
              <w:t> </w:t>
            </w:r>
          </w:p>
        </w:tc>
        <w:tc>
          <w:tcPr>
            <w:tcW w:w="0" w:type="auto"/>
            <w:gridSpan w:val="2"/>
            <w:shd w:val="clear" w:color="auto" w:fill="FFDEAD"/>
            <w:vAlign w:val="center"/>
            <w:hideMark/>
          </w:tcPr>
          <w:p w:rsidR="004E7E54" w:rsidRDefault="00FE7F35">
            <w:pPr>
              <w:spacing w:before="240" w:after="240"/>
              <w:jc w:val="center"/>
              <w:rPr>
                <w:b/>
                <w:bCs/>
              </w:rPr>
            </w:pPr>
            <w:hyperlink r:id="rId106" w:tooltip="Bilabial" w:history="1">
              <w:r w:rsidR="004E7E54">
                <w:rPr>
                  <w:rStyle w:val="Hipervnculo"/>
                  <w:b/>
                  <w:bCs/>
                </w:rPr>
                <w:t>Bilabiales</w:t>
              </w:r>
            </w:hyperlink>
          </w:p>
        </w:tc>
        <w:tc>
          <w:tcPr>
            <w:tcW w:w="0" w:type="auto"/>
            <w:gridSpan w:val="2"/>
            <w:shd w:val="clear" w:color="auto" w:fill="FFDEAD"/>
            <w:vAlign w:val="center"/>
            <w:hideMark/>
          </w:tcPr>
          <w:p w:rsidR="004E7E54" w:rsidRDefault="00FE7F35">
            <w:pPr>
              <w:spacing w:before="240" w:after="240"/>
              <w:jc w:val="center"/>
              <w:rPr>
                <w:b/>
                <w:bCs/>
              </w:rPr>
            </w:pPr>
            <w:hyperlink r:id="rId107" w:tooltip="Labiodental" w:history="1">
              <w:r w:rsidR="004E7E54">
                <w:rPr>
                  <w:rStyle w:val="Hipervnculo"/>
                  <w:b/>
                  <w:bCs/>
                </w:rPr>
                <w:t>Labio-</w:t>
              </w:r>
              <w:r w:rsidR="004E7E54">
                <w:rPr>
                  <w:b/>
                  <w:bCs/>
                  <w:color w:val="0000FF"/>
                  <w:u w:val="single"/>
                </w:rPr>
                <w:br/>
              </w:r>
              <w:r w:rsidR="004E7E54">
                <w:rPr>
                  <w:rStyle w:val="Hipervnculo"/>
                  <w:b/>
                  <w:bCs/>
                </w:rPr>
                <w:t>dentales</w:t>
              </w:r>
            </w:hyperlink>
          </w:p>
        </w:tc>
        <w:tc>
          <w:tcPr>
            <w:tcW w:w="0" w:type="auto"/>
            <w:gridSpan w:val="2"/>
            <w:shd w:val="clear" w:color="auto" w:fill="FFDEAD"/>
            <w:vAlign w:val="center"/>
            <w:hideMark/>
          </w:tcPr>
          <w:p w:rsidR="004E7E54" w:rsidRDefault="00FE7F35">
            <w:pPr>
              <w:spacing w:before="240" w:after="240"/>
              <w:jc w:val="center"/>
              <w:rPr>
                <w:b/>
                <w:bCs/>
              </w:rPr>
            </w:pPr>
            <w:hyperlink r:id="rId108" w:tooltip="Alveolar (aún no redactado)" w:history="1">
              <w:r w:rsidR="004E7E54">
                <w:rPr>
                  <w:rStyle w:val="Hipervnculo"/>
                  <w:b/>
                  <w:bCs/>
                </w:rPr>
                <w:t>Alveolares</w:t>
              </w:r>
            </w:hyperlink>
          </w:p>
        </w:tc>
        <w:tc>
          <w:tcPr>
            <w:tcW w:w="0" w:type="auto"/>
            <w:gridSpan w:val="2"/>
            <w:shd w:val="clear" w:color="auto" w:fill="FFDEAD"/>
            <w:vAlign w:val="center"/>
            <w:hideMark/>
          </w:tcPr>
          <w:p w:rsidR="004E7E54" w:rsidRDefault="00FE7F35">
            <w:pPr>
              <w:spacing w:before="240" w:after="240"/>
              <w:jc w:val="center"/>
              <w:rPr>
                <w:b/>
                <w:bCs/>
              </w:rPr>
            </w:pPr>
            <w:hyperlink r:id="rId109" w:tooltip="Glotal (aún no redactado)" w:history="1">
              <w:proofErr w:type="spellStart"/>
              <w:r w:rsidR="004E7E54">
                <w:rPr>
                  <w:rStyle w:val="Hipervnculo"/>
                  <w:b/>
                  <w:bCs/>
                </w:rPr>
                <w:t>Glotales</w:t>
              </w:r>
              <w:proofErr w:type="spellEnd"/>
            </w:hyperlink>
          </w:p>
        </w:tc>
      </w:tr>
      <w:tr w:rsidR="004E7E54" w:rsidTr="004E7E54">
        <w:tc>
          <w:tcPr>
            <w:tcW w:w="0" w:type="auto"/>
            <w:vMerge/>
            <w:shd w:val="clear" w:color="auto" w:fill="F9F9F9"/>
            <w:vAlign w:val="center"/>
            <w:hideMark/>
          </w:tcPr>
          <w:p w:rsidR="004E7E54" w:rsidRDefault="004E7E54">
            <w:pPr>
              <w:rPr>
                <w:b/>
                <w:bCs/>
              </w:rPr>
            </w:pPr>
          </w:p>
        </w:tc>
        <w:tc>
          <w:tcPr>
            <w:tcW w:w="408" w:type="dxa"/>
            <w:shd w:val="clear" w:color="auto" w:fill="FFDEAD"/>
            <w:vAlign w:val="center"/>
            <w:hideMark/>
          </w:tcPr>
          <w:p w:rsidR="004E7E54" w:rsidRDefault="00FE7F35">
            <w:pPr>
              <w:spacing w:before="240" w:after="240"/>
              <w:jc w:val="center"/>
            </w:pPr>
            <w:hyperlink r:id="rId110" w:tooltip="Articulación sorda (aún no redactado)" w:history="1">
              <w:r w:rsidR="004E7E54">
                <w:rPr>
                  <w:rStyle w:val="Hipervnculo"/>
                </w:rPr>
                <w:t>sor.</w:t>
              </w:r>
            </w:hyperlink>
          </w:p>
        </w:tc>
        <w:tc>
          <w:tcPr>
            <w:tcW w:w="408" w:type="dxa"/>
            <w:shd w:val="clear" w:color="auto" w:fill="FFDEAD"/>
            <w:vAlign w:val="center"/>
            <w:hideMark/>
          </w:tcPr>
          <w:p w:rsidR="004E7E54" w:rsidRDefault="00FE7F35">
            <w:pPr>
              <w:spacing w:before="240" w:after="240"/>
              <w:jc w:val="center"/>
            </w:pPr>
            <w:hyperlink r:id="rId111" w:tooltip="Articulación sonora (aún no redactado)" w:history="1">
              <w:r w:rsidR="004E7E54">
                <w:rPr>
                  <w:rStyle w:val="Hipervnculo"/>
                </w:rPr>
                <w:t>son.</w:t>
              </w:r>
            </w:hyperlink>
          </w:p>
        </w:tc>
        <w:tc>
          <w:tcPr>
            <w:tcW w:w="408" w:type="dxa"/>
            <w:shd w:val="clear" w:color="auto" w:fill="FFDEAD"/>
            <w:vAlign w:val="center"/>
            <w:hideMark/>
          </w:tcPr>
          <w:p w:rsidR="004E7E54" w:rsidRDefault="004E7E54">
            <w:pPr>
              <w:spacing w:before="240" w:after="240"/>
              <w:jc w:val="center"/>
            </w:pPr>
            <w:r>
              <w:t>sor.</w:t>
            </w:r>
          </w:p>
        </w:tc>
        <w:tc>
          <w:tcPr>
            <w:tcW w:w="408" w:type="dxa"/>
            <w:shd w:val="clear" w:color="auto" w:fill="FFDEAD"/>
            <w:vAlign w:val="center"/>
            <w:hideMark/>
          </w:tcPr>
          <w:p w:rsidR="004E7E54" w:rsidRDefault="004E7E54">
            <w:pPr>
              <w:spacing w:before="240" w:after="240"/>
              <w:jc w:val="center"/>
            </w:pPr>
            <w:r>
              <w:t>son.</w:t>
            </w:r>
          </w:p>
        </w:tc>
        <w:tc>
          <w:tcPr>
            <w:tcW w:w="408" w:type="dxa"/>
            <w:shd w:val="clear" w:color="auto" w:fill="FFDEAD"/>
            <w:vAlign w:val="center"/>
            <w:hideMark/>
          </w:tcPr>
          <w:p w:rsidR="004E7E54" w:rsidRDefault="004E7E54">
            <w:pPr>
              <w:spacing w:before="240" w:after="240"/>
              <w:jc w:val="center"/>
            </w:pPr>
            <w:r>
              <w:t>sor.</w:t>
            </w:r>
          </w:p>
        </w:tc>
        <w:tc>
          <w:tcPr>
            <w:tcW w:w="408" w:type="dxa"/>
            <w:shd w:val="clear" w:color="auto" w:fill="FFDEAD"/>
            <w:vAlign w:val="center"/>
            <w:hideMark/>
          </w:tcPr>
          <w:p w:rsidR="004E7E54" w:rsidRDefault="004E7E54">
            <w:pPr>
              <w:spacing w:before="240" w:after="240"/>
              <w:jc w:val="center"/>
            </w:pPr>
            <w:r>
              <w:t>son.</w:t>
            </w:r>
          </w:p>
        </w:tc>
        <w:tc>
          <w:tcPr>
            <w:tcW w:w="408" w:type="dxa"/>
            <w:shd w:val="clear" w:color="auto" w:fill="FFDEAD"/>
            <w:vAlign w:val="center"/>
            <w:hideMark/>
          </w:tcPr>
          <w:p w:rsidR="004E7E54" w:rsidRDefault="004E7E54">
            <w:pPr>
              <w:spacing w:before="240" w:after="240"/>
              <w:jc w:val="center"/>
            </w:pPr>
            <w:r>
              <w:t>sor.</w:t>
            </w:r>
          </w:p>
        </w:tc>
        <w:tc>
          <w:tcPr>
            <w:tcW w:w="408" w:type="dxa"/>
            <w:shd w:val="clear" w:color="auto" w:fill="FFDEAD"/>
            <w:vAlign w:val="center"/>
            <w:hideMark/>
          </w:tcPr>
          <w:p w:rsidR="004E7E54" w:rsidRDefault="004E7E54">
            <w:pPr>
              <w:spacing w:before="240" w:after="240"/>
              <w:jc w:val="center"/>
            </w:pPr>
            <w:r>
              <w:t>son.</w:t>
            </w:r>
          </w:p>
        </w:tc>
      </w:tr>
      <w:tr w:rsidR="004E7E54" w:rsidTr="004E7E54">
        <w:tc>
          <w:tcPr>
            <w:tcW w:w="0" w:type="auto"/>
            <w:shd w:val="clear" w:color="auto" w:fill="FFDEAD"/>
            <w:vAlign w:val="center"/>
            <w:hideMark/>
          </w:tcPr>
          <w:p w:rsidR="004E7E54" w:rsidRDefault="00FE7F35">
            <w:pPr>
              <w:spacing w:before="240" w:after="240"/>
              <w:rPr>
                <w:b/>
                <w:bCs/>
              </w:rPr>
            </w:pPr>
            <w:hyperlink r:id="rId112" w:tooltip="Oclusiva" w:history="1">
              <w:r w:rsidR="004E7E54">
                <w:rPr>
                  <w:rStyle w:val="Hipervnculo"/>
                  <w:b/>
                  <w:bCs/>
                </w:rPr>
                <w:t>Oclusivas</w:t>
              </w:r>
            </w:hyperlink>
          </w:p>
        </w:tc>
        <w:tc>
          <w:tcPr>
            <w:tcW w:w="0" w:type="auto"/>
            <w:shd w:val="clear" w:color="auto" w:fill="F9F9F9"/>
            <w:vAlign w:val="center"/>
            <w:hideMark/>
          </w:tcPr>
          <w:p w:rsidR="004E7E54" w:rsidRDefault="00FE7F35">
            <w:pPr>
              <w:spacing w:before="240" w:after="240"/>
              <w:jc w:val="center"/>
            </w:pPr>
            <w:hyperlink r:id="rId113" w:tooltip="Oclusiva bilabial sorda" w:history="1">
              <w:r w:rsidR="004E7E54">
                <w:rPr>
                  <w:rStyle w:val="ipa"/>
                  <w:color w:val="0000FF"/>
                  <w:u w:val="single"/>
                </w:rPr>
                <w:t>p</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14" w:tooltip="Oclusiva alveolar sorda" w:history="1">
              <w:r w:rsidR="004E7E54">
                <w:rPr>
                  <w:rStyle w:val="ipa"/>
                  <w:color w:val="0000FF"/>
                  <w:u w:val="single"/>
                </w:rPr>
                <w:t>t</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15" w:tooltip="Oclusiva glotal sorda" w:history="1">
              <w:r w:rsidR="004E7E54">
                <w:rPr>
                  <w:rStyle w:val="ipa"/>
                  <w:color w:val="0000FF"/>
                  <w:u w:val="single"/>
                </w:rPr>
                <w:t>ʔ</w:t>
              </w:r>
            </w:hyperlink>
          </w:p>
        </w:tc>
        <w:tc>
          <w:tcPr>
            <w:tcW w:w="0" w:type="auto"/>
            <w:shd w:val="clear" w:color="auto" w:fill="D8D8D8"/>
            <w:vAlign w:val="center"/>
            <w:hideMark/>
          </w:tcPr>
          <w:p w:rsidR="004E7E54" w:rsidRDefault="004E7E54">
            <w:pPr>
              <w:spacing w:before="240" w:after="240"/>
            </w:pPr>
            <w:r>
              <w:t> </w:t>
            </w:r>
          </w:p>
        </w:tc>
      </w:tr>
      <w:tr w:rsidR="004E7E54" w:rsidTr="004E7E54">
        <w:tc>
          <w:tcPr>
            <w:tcW w:w="0" w:type="auto"/>
            <w:shd w:val="clear" w:color="auto" w:fill="FFDEAD"/>
            <w:vAlign w:val="center"/>
            <w:hideMark/>
          </w:tcPr>
          <w:p w:rsidR="004E7E54" w:rsidRDefault="00FE7F35">
            <w:pPr>
              <w:spacing w:before="240" w:after="240"/>
              <w:rPr>
                <w:b/>
                <w:bCs/>
              </w:rPr>
            </w:pPr>
            <w:hyperlink r:id="rId116" w:tooltip="Nasal" w:history="1">
              <w:r w:rsidR="004E7E54">
                <w:rPr>
                  <w:rStyle w:val="Hipervnculo"/>
                  <w:b/>
                  <w:bCs/>
                </w:rPr>
                <w:t>Nasales</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17" w:tooltip="Nasal bilabial sonora (aún no redactado)" w:history="1">
              <w:r w:rsidR="004E7E54">
                <w:rPr>
                  <w:rStyle w:val="ipa"/>
                  <w:color w:val="0000FF"/>
                  <w:u w:val="single"/>
                </w:rPr>
                <w:t>m</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18" w:tooltip="Nasal alveolar sonora (aún no redactado)" w:history="1">
              <w:r w:rsidR="004E7E54">
                <w:rPr>
                  <w:rStyle w:val="ipa"/>
                  <w:color w:val="0000FF"/>
                  <w:u w:val="single"/>
                </w:rPr>
                <w:t>n</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r>
      <w:tr w:rsidR="004E7E54" w:rsidTr="004E7E54">
        <w:tc>
          <w:tcPr>
            <w:tcW w:w="0" w:type="auto"/>
            <w:shd w:val="clear" w:color="auto" w:fill="FFDEAD"/>
            <w:vAlign w:val="center"/>
            <w:hideMark/>
          </w:tcPr>
          <w:p w:rsidR="004E7E54" w:rsidRDefault="00FE7F35">
            <w:pPr>
              <w:spacing w:before="240" w:after="240"/>
              <w:rPr>
                <w:b/>
                <w:bCs/>
              </w:rPr>
            </w:pPr>
            <w:hyperlink r:id="rId119" w:tooltip="Vibrante (aún no redactado)" w:history="1">
              <w:r w:rsidR="004E7E54">
                <w:rPr>
                  <w:rStyle w:val="Hipervnculo"/>
                  <w:b/>
                  <w:bCs/>
                </w:rPr>
                <w:t>Vibrantes</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20" w:tooltip="Vibrante alveolar sonora (aún no redactado)" w:history="1">
              <w:r w:rsidR="004E7E54">
                <w:rPr>
                  <w:rStyle w:val="ipa"/>
                  <w:color w:val="0000FF"/>
                  <w:u w:val="single"/>
                </w:rPr>
                <w:t>ɾ</w:t>
              </w:r>
            </w:hyperlink>
          </w:p>
        </w:tc>
        <w:tc>
          <w:tcPr>
            <w:tcW w:w="0" w:type="auto"/>
            <w:shd w:val="clear" w:color="auto" w:fill="D8D8D8"/>
            <w:vAlign w:val="center"/>
            <w:hideMark/>
          </w:tcPr>
          <w:p w:rsidR="004E7E54" w:rsidRDefault="004E7E54">
            <w:pPr>
              <w:spacing w:before="240" w:after="240"/>
            </w:pPr>
            <w:r>
              <w:t> </w:t>
            </w:r>
          </w:p>
        </w:tc>
        <w:tc>
          <w:tcPr>
            <w:tcW w:w="0" w:type="auto"/>
            <w:shd w:val="clear" w:color="auto" w:fill="D8D8D8"/>
            <w:vAlign w:val="center"/>
            <w:hideMark/>
          </w:tcPr>
          <w:p w:rsidR="004E7E54" w:rsidRDefault="004E7E54">
            <w:pPr>
              <w:spacing w:before="240" w:after="240"/>
            </w:pPr>
            <w:r>
              <w:t> </w:t>
            </w:r>
          </w:p>
        </w:tc>
      </w:tr>
      <w:tr w:rsidR="004E7E54" w:rsidTr="004E7E54">
        <w:tc>
          <w:tcPr>
            <w:tcW w:w="0" w:type="auto"/>
            <w:shd w:val="clear" w:color="auto" w:fill="FFDEAD"/>
            <w:vAlign w:val="center"/>
            <w:hideMark/>
          </w:tcPr>
          <w:p w:rsidR="004E7E54" w:rsidRDefault="00FE7F35">
            <w:pPr>
              <w:spacing w:before="240" w:after="240"/>
              <w:rPr>
                <w:b/>
                <w:bCs/>
              </w:rPr>
            </w:pPr>
            <w:hyperlink r:id="rId121" w:tooltip="Fricativa" w:history="1">
              <w:r w:rsidR="004E7E54">
                <w:rPr>
                  <w:rStyle w:val="Hipervnculo"/>
                  <w:b/>
                  <w:bCs/>
                </w:rPr>
                <w:t>Fricativas</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22" w:tooltip="Fricativa labiodental sorda" w:history="1">
              <w:r w:rsidR="004E7E54">
                <w:rPr>
                  <w:rStyle w:val="ipa"/>
                  <w:color w:val="0000FF"/>
                  <w:u w:val="single"/>
                </w:rPr>
                <w:t>f</w:t>
              </w:r>
            </w:hyperlink>
          </w:p>
        </w:tc>
        <w:tc>
          <w:tcPr>
            <w:tcW w:w="0" w:type="auto"/>
            <w:shd w:val="clear" w:color="auto" w:fill="F9F9F9"/>
            <w:vAlign w:val="center"/>
            <w:hideMark/>
          </w:tcPr>
          <w:p w:rsidR="004E7E54" w:rsidRDefault="00FE7F35">
            <w:pPr>
              <w:spacing w:before="240" w:after="240"/>
              <w:jc w:val="center"/>
            </w:pPr>
            <w:hyperlink r:id="rId123" w:tooltip="Fricativa labiodental sonora" w:history="1">
              <w:r w:rsidR="004E7E54">
                <w:rPr>
                  <w:rStyle w:val="ipa"/>
                  <w:color w:val="0000FF"/>
                  <w:u w:val="single"/>
                </w:rPr>
                <w:t>v</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24" w:tooltip="Fricativa glotal sorda" w:history="1">
              <w:r w:rsidR="004E7E54">
                <w:rPr>
                  <w:rStyle w:val="ipa"/>
                  <w:color w:val="0000FF"/>
                  <w:u w:val="single"/>
                </w:rPr>
                <w:t>h</w:t>
              </w:r>
            </w:hyperlink>
          </w:p>
        </w:tc>
        <w:tc>
          <w:tcPr>
            <w:tcW w:w="0" w:type="auto"/>
            <w:shd w:val="clear" w:color="auto" w:fill="F9F9F9"/>
            <w:vAlign w:val="center"/>
            <w:hideMark/>
          </w:tcPr>
          <w:p w:rsidR="004E7E54" w:rsidRDefault="004E7E54">
            <w:pPr>
              <w:spacing w:before="240" w:after="240"/>
            </w:pPr>
            <w:r>
              <w:t> </w:t>
            </w:r>
          </w:p>
        </w:tc>
      </w:tr>
    </w:tbl>
    <w:p w:rsidR="004E7E54" w:rsidRDefault="00FE7F35" w:rsidP="004E7E54">
      <w:pPr>
        <w:shd w:val="clear" w:color="auto" w:fill="CCCCFF"/>
        <w:jc w:val="center"/>
      </w:pPr>
      <w:hyperlink r:id="rId125" w:tooltip="Vocal" w:history="1">
        <w:r w:rsidR="004E7E54">
          <w:rPr>
            <w:rStyle w:val="Hipervnculo"/>
            <w:b/>
            <w:bCs/>
          </w:rPr>
          <w:t>Vocales</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561"/>
        <w:gridCol w:w="607"/>
        <w:gridCol w:w="447"/>
        <w:gridCol w:w="474"/>
        <w:gridCol w:w="474"/>
        <w:gridCol w:w="498"/>
        <w:gridCol w:w="676"/>
      </w:tblGrid>
      <w:tr w:rsidR="004E7E54" w:rsidTr="004E7E54">
        <w:tc>
          <w:tcPr>
            <w:tcW w:w="0" w:type="auto"/>
            <w:shd w:val="clear" w:color="auto" w:fill="F9F9F9"/>
            <w:vAlign w:val="center"/>
            <w:hideMark/>
          </w:tcPr>
          <w:p w:rsidR="004E7E54" w:rsidRDefault="004E7E54">
            <w:pPr>
              <w:spacing w:before="240" w:after="240"/>
              <w:jc w:val="center"/>
              <w:rPr>
                <w:b/>
                <w:bCs/>
              </w:rPr>
            </w:pPr>
            <w:r>
              <w:rPr>
                <w:b/>
                <w:bCs/>
              </w:rPr>
              <w:t> </w:t>
            </w:r>
          </w:p>
        </w:tc>
        <w:tc>
          <w:tcPr>
            <w:tcW w:w="0" w:type="auto"/>
            <w:gridSpan w:val="2"/>
            <w:shd w:val="clear" w:color="auto" w:fill="FFDEAD"/>
            <w:vAlign w:val="center"/>
            <w:hideMark/>
          </w:tcPr>
          <w:p w:rsidR="004E7E54" w:rsidRDefault="00FE7F35">
            <w:pPr>
              <w:spacing w:before="240" w:after="240"/>
              <w:jc w:val="center"/>
              <w:rPr>
                <w:b/>
                <w:bCs/>
              </w:rPr>
            </w:pPr>
            <w:hyperlink r:id="rId126" w:tooltip="Vocal anterior" w:history="1">
              <w:r w:rsidR="004E7E54">
                <w:rPr>
                  <w:rStyle w:val="Hipervnculo"/>
                  <w:b/>
                  <w:bCs/>
                </w:rPr>
                <w:t>Anterior</w:t>
              </w:r>
            </w:hyperlink>
          </w:p>
        </w:tc>
        <w:tc>
          <w:tcPr>
            <w:tcW w:w="0" w:type="auto"/>
            <w:gridSpan w:val="2"/>
            <w:shd w:val="clear" w:color="auto" w:fill="FFDEAD"/>
            <w:vAlign w:val="center"/>
            <w:hideMark/>
          </w:tcPr>
          <w:p w:rsidR="004E7E54" w:rsidRDefault="00FE7F35">
            <w:pPr>
              <w:spacing w:before="240" w:after="240"/>
              <w:jc w:val="center"/>
              <w:rPr>
                <w:b/>
                <w:bCs/>
              </w:rPr>
            </w:pPr>
            <w:hyperlink r:id="rId127" w:tooltip="Vocal central" w:history="1">
              <w:r w:rsidR="004E7E54">
                <w:rPr>
                  <w:rStyle w:val="Hipervnculo"/>
                  <w:b/>
                  <w:bCs/>
                </w:rPr>
                <w:t>Central</w:t>
              </w:r>
            </w:hyperlink>
          </w:p>
        </w:tc>
        <w:tc>
          <w:tcPr>
            <w:tcW w:w="0" w:type="auto"/>
            <w:gridSpan w:val="2"/>
            <w:shd w:val="clear" w:color="auto" w:fill="FFDEAD"/>
            <w:vAlign w:val="center"/>
            <w:hideMark/>
          </w:tcPr>
          <w:p w:rsidR="004E7E54" w:rsidRDefault="00FE7F35">
            <w:pPr>
              <w:spacing w:before="240" w:after="240"/>
              <w:jc w:val="center"/>
              <w:rPr>
                <w:b/>
                <w:bCs/>
              </w:rPr>
            </w:pPr>
            <w:hyperlink r:id="rId128" w:tooltip="Vocal posterior" w:history="1">
              <w:r w:rsidR="004E7E54">
                <w:rPr>
                  <w:rStyle w:val="Hipervnculo"/>
                  <w:b/>
                  <w:bCs/>
                </w:rPr>
                <w:t>Posterior</w:t>
              </w:r>
            </w:hyperlink>
          </w:p>
        </w:tc>
      </w:tr>
      <w:tr w:rsidR="004E7E54" w:rsidTr="004E7E54">
        <w:tc>
          <w:tcPr>
            <w:tcW w:w="0" w:type="auto"/>
            <w:shd w:val="clear" w:color="auto" w:fill="FFDEAD"/>
            <w:vAlign w:val="center"/>
            <w:hideMark/>
          </w:tcPr>
          <w:p w:rsidR="004E7E54" w:rsidRDefault="00FE7F35">
            <w:pPr>
              <w:spacing w:before="240" w:after="240"/>
              <w:rPr>
                <w:b/>
                <w:bCs/>
              </w:rPr>
            </w:pPr>
            <w:hyperlink r:id="rId129" w:tooltip="Vocal cerrada" w:history="1">
              <w:r w:rsidR="004E7E54">
                <w:rPr>
                  <w:rStyle w:val="Hipervnculo"/>
                  <w:b/>
                  <w:bCs/>
                </w:rPr>
                <w:t>Cerrada</w:t>
              </w:r>
            </w:hyperlink>
          </w:p>
        </w:tc>
        <w:tc>
          <w:tcPr>
            <w:tcW w:w="0" w:type="auto"/>
            <w:shd w:val="clear" w:color="auto" w:fill="F9F9F9"/>
            <w:vAlign w:val="center"/>
            <w:hideMark/>
          </w:tcPr>
          <w:p w:rsidR="004E7E54" w:rsidRDefault="00FE7F35">
            <w:pPr>
              <w:spacing w:before="240" w:after="240"/>
              <w:jc w:val="center"/>
            </w:pPr>
            <w:hyperlink r:id="rId130" w:tooltip="Vocal cerrada anterior no redondeada" w:history="1">
              <w:r w:rsidR="004E7E54">
                <w:rPr>
                  <w:rStyle w:val="ipa"/>
                  <w:color w:val="0000FF"/>
                  <w:u w:val="single"/>
                </w:rPr>
                <w:t>i</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31" w:tooltip="Vocal cerrada posterior redondeada" w:history="1">
              <w:r w:rsidR="004E7E54">
                <w:rPr>
                  <w:rStyle w:val="ipa"/>
                  <w:color w:val="0000FF"/>
                  <w:u w:val="single"/>
                </w:rPr>
                <w:t>u</w:t>
              </w:r>
            </w:hyperlink>
          </w:p>
        </w:tc>
      </w:tr>
      <w:tr w:rsidR="004E7E54" w:rsidTr="004E7E54">
        <w:tc>
          <w:tcPr>
            <w:tcW w:w="0" w:type="auto"/>
            <w:shd w:val="clear" w:color="auto" w:fill="FFDEAD"/>
            <w:vAlign w:val="center"/>
            <w:hideMark/>
          </w:tcPr>
          <w:p w:rsidR="004E7E54" w:rsidRDefault="00FE7F35">
            <w:pPr>
              <w:spacing w:before="240" w:after="240"/>
              <w:rPr>
                <w:b/>
                <w:bCs/>
              </w:rPr>
            </w:pPr>
            <w:hyperlink r:id="rId132" w:tooltip="Vocal semicerrada" w:history="1">
              <w:proofErr w:type="spellStart"/>
              <w:r w:rsidR="004E7E54">
                <w:rPr>
                  <w:rStyle w:val="Hipervnculo"/>
                  <w:b/>
                  <w:bCs/>
                </w:rPr>
                <w:t>Semicerrada</w:t>
              </w:r>
              <w:proofErr w:type="spellEnd"/>
            </w:hyperlink>
          </w:p>
        </w:tc>
        <w:tc>
          <w:tcPr>
            <w:tcW w:w="0" w:type="auto"/>
            <w:shd w:val="clear" w:color="auto" w:fill="F9F9F9"/>
            <w:vAlign w:val="center"/>
            <w:hideMark/>
          </w:tcPr>
          <w:p w:rsidR="004E7E54" w:rsidRDefault="00FE7F35">
            <w:pPr>
              <w:spacing w:before="240" w:after="240"/>
              <w:jc w:val="center"/>
            </w:pPr>
            <w:hyperlink r:id="rId133" w:tooltip="Vocal semicerrada anterior no redondeada" w:history="1">
              <w:r w:rsidR="004E7E54">
                <w:rPr>
                  <w:rStyle w:val="ipa"/>
                  <w:color w:val="0000FF"/>
                  <w:u w:val="single"/>
                </w:rPr>
                <w:t>e</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FE7F35">
            <w:pPr>
              <w:spacing w:before="240" w:after="240"/>
              <w:jc w:val="center"/>
            </w:pPr>
            <w:hyperlink r:id="rId134" w:tooltip="Vocal semicerrada posterior redondeada" w:history="1">
              <w:r w:rsidR="004E7E54">
                <w:rPr>
                  <w:rStyle w:val="ipa"/>
                  <w:color w:val="0000FF"/>
                  <w:u w:val="single"/>
                </w:rPr>
                <w:t>o</w:t>
              </w:r>
            </w:hyperlink>
          </w:p>
        </w:tc>
      </w:tr>
      <w:tr w:rsidR="004E7E54" w:rsidTr="004E7E54">
        <w:tc>
          <w:tcPr>
            <w:tcW w:w="0" w:type="auto"/>
            <w:shd w:val="clear" w:color="auto" w:fill="FFDEAD"/>
            <w:vAlign w:val="center"/>
            <w:hideMark/>
          </w:tcPr>
          <w:p w:rsidR="004E7E54" w:rsidRDefault="00FE7F35">
            <w:pPr>
              <w:spacing w:before="240" w:after="240"/>
              <w:rPr>
                <w:b/>
                <w:bCs/>
              </w:rPr>
            </w:pPr>
            <w:hyperlink r:id="rId135" w:tooltip="Vocal abierta" w:history="1">
              <w:r w:rsidR="004E7E54">
                <w:rPr>
                  <w:rStyle w:val="Hipervnculo"/>
                  <w:b/>
                  <w:bCs/>
                </w:rPr>
                <w:t>Abierta</w:t>
              </w:r>
            </w:hyperlink>
          </w:p>
        </w:tc>
        <w:tc>
          <w:tcPr>
            <w:tcW w:w="0" w:type="auto"/>
            <w:shd w:val="clear" w:color="auto" w:fill="F9F9F9"/>
            <w:vAlign w:val="center"/>
            <w:hideMark/>
          </w:tcPr>
          <w:p w:rsidR="004E7E54" w:rsidRDefault="00FE7F35">
            <w:pPr>
              <w:spacing w:before="240" w:after="240"/>
              <w:jc w:val="center"/>
            </w:pPr>
            <w:hyperlink r:id="rId136" w:tooltip="Vocal abierta anterior no redondeada" w:history="1">
              <w:r w:rsidR="004E7E54">
                <w:rPr>
                  <w:rStyle w:val="ipa"/>
                  <w:color w:val="0000FF"/>
                  <w:u w:val="single"/>
                </w:rPr>
                <w:t>a</w:t>
              </w:r>
            </w:hyperlink>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c>
          <w:tcPr>
            <w:tcW w:w="0" w:type="auto"/>
            <w:shd w:val="clear" w:color="auto" w:fill="F9F9F9"/>
            <w:vAlign w:val="center"/>
            <w:hideMark/>
          </w:tcPr>
          <w:p w:rsidR="004E7E54" w:rsidRDefault="004E7E54">
            <w:pPr>
              <w:spacing w:before="240" w:after="240"/>
            </w:pPr>
            <w:r>
              <w:t> </w:t>
            </w:r>
          </w:p>
        </w:tc>
      </w:tr>
    </w:tbl>
    <w:p w:rsidR="004E7E54" w:rsidRDefault="004E7E54" w:rsidP="004E7E54">
      <w:pPr>
        <w:pStyle w:val="NormalWeb"/>
      </w:pPr>
      <w:r>
        <w:br w:type="textWrapping" w:clear="all"/>
      </w:r>
    </w:p>
    <w:p w:rsidR="004E7E54" w:rsidRDefault="004E7E54" w:rsidP="004E7E54">
      <w:pPr>
        <w:pStyle w:val="NormalWeb"/>
      </w:pPr>
      <w:r>
        <w:t xml:space="preserve">Como se puede apreciar, el sistema consonántico carece de fonemas tan habituales en las </w:t>
      </w:r>
      <w:hyperlink r:id="rId137" w:tooltip="Indoeuropeo" w:history="1">
        <w:r>
          <w:rPr>
            <w:rStyle w:val="Hipervnculo"/>
          </w:rPr>
          <w:t>lenguas indoeur</w:t>
        </w:r>
        <w:r>
          <w:rPr>
            <w:rStyle w:val="Hipervnculo"/>
          </w:rPr>
          <w:t>o</w:t>
        </w:r>
        <w:r>
          <w:rPr>
            <w:rStyle w:val="Hipervnculo"/>
          </w:rPr>
          <w:t>peas</w:t>
        </w:r>
      </w:hyperlink>
      <w:r>
        <w:t xml:space="preserve"> como </w:t>
      </w:r>
      <w:r>
        <w:rPr>
          <w:rStyle w:val="ipa"/>
        </w:rPr>
        <w:t>[b]</w:t>
      </w:r>
      <w:r>
        <w:t xml:space="preserve">, </w:t>
      </w:r>
      <w:r>
        <w:rPr>
          <w:rStyle w:val="ipa"/>
        </w:rPr>
        <w:t>[g]</w:t>
      </w:r>
      <w:r>
        <w:t xml:space="preserve">, </w:t>
      </w:r>
      <w:r>
        <w:rPr>
          <w:rStyle w:val="ipa"/>
        </w:rPr>
        <w:t>[k]</w:t>
      </w:r>
      <w:r>
        <w:t xml:space="preserve"> o </w:t>
      </w:r>
      <w:r>
        <w:rPr>
          <w:rStyle w:val="ipa"/>
        </w:rPr>
        <w:t>[l]</w:t>
      </w:r>
      <w:r>
        <w:t>.</w:t>
      </w:r>
    </w:p>
    <w:p w:rsidR="004E7E54" w:rsidRDefault="004E7E54" w:rsidP="004E7E54">
      <w:pPr>
        <w:pStyle w:val="NormalWeb"/>
      </w:pPr>
      <w:r>
        <w:t xml:space="preserve">Destaca, sin embargo, la presencia de dos </w:t>
      </w:r>
      <w:proofErr w:type="spellStart"/>
      <w:r>
        <w:t>glotales</w:t>
      </w:r>
      <w:proofErr w:type="spellEnd"/>
      <w:r>
        <w:t xml:space="preserve">: la oclusiva </w:t>
      </w:r>
      <w:proofErr w:type="spellStart"/>
      <w:r>
        <w:t>glotal</w:t>
      </w:r>
      <w:proofErr w:type="spellEnd"/>
      <w:r>
        <w:t xml:space="preserve"> sorda (</w:t>
      </w:r>
      <w:r>
        <w:rPr>
          <w:rStyle w:val="ipa"/>
        </w:rPr>
        <w:t>[ʔ]</w:t>
      </w:r>
      <w:r>
        <w:t>, que proviene de una pronu</w:t>
      </w:r>
      <w:r>
        <w:t>n</w:t>
      </w:r>
      <w:r>
        <w:t xml:space="preserve">ciación laxa de los antiguos fonemas </w:t>
      </w:r>
      <w:r>
        <w:rPr>
          <w:rStyle w:val="ipa"/>
        </w:rPr>
        <w:t>[k]</w:t>
      </w:r>
      <w:r>
        <w:t xml:space="preserve"> y </w:t>
      </w:r>
      <w:r>
        <w:rPr>
          <w:rStyle w:val="ipa"/>
        </w:rPr>
        <w:t>[ŋ]</w:t>
      </w:r>
      <w:r>
        <w:t xml:space="preserve">), y la fricativa </w:t>
      </w:r>
      <w:proofErr w:type="spellStart"/>
      <w:r>
        <w:t>glotal</w:t>
      </w:r>
      <w:proofErr w:type="spellEnd"/>
      <w:r>
        <w:t xml:space="preserve"> sorda (</w:t>
      </w:r>
      <w:r>
        <w:rPr>
          <w:rStyle w:val="ipa"/>
        </w:rPr>
        <w:t>[h]</w:t>
      </w:r>
      <w:r>
        <w:t>). Si bien en el resto del sistema puede haber variaciones entre las lenguas polinesias, estos dos fenómenos son propios y característicos de esta familia lingüística y constituyen un rasgo distintivo, de la misma forma que lo es la simplicidad del si</w:t>
      </w:r>
      <w:r>
        <w:t>s</w:t>
      </w:r>
      <w:r>
        <w:t>tema consonántico.</w:t>
      </w:r>
    </w:p>
    <w:p w:rsidR="004E7E54" w:rsidRDefault="004E7E54" w:rsidP="004E7E54">
      <w:pPr>
        <w:pStyle w:val="NormalWeb"/>
      </w:pPr>
      <w:r>
        <w:t xml:space="preserve">En cuanto al sistema vocálico, encontramos los fonemas básicos, como en el </w:t>
      </w:r>
      <w:hyperlink r:id="rId138" w:tooltip="Idioma castellano" w:history="1">
        <w:r>
          <w:rPr>
            <w:rStyle w:val="Hipervnculo"/>
          </w:rPr>
          <w:t>castellano</w:t>
        </w:r>
      </w:hyperlink>
      <w:r>
        <w:t>, pero para cada f</w:t>
      </w:r>
      <w:r>
        <w:t>o</w:t>
      </w:r>
      <w:r>
        <w:t>nema hay que añadir el alargamiento correspondiente, así encontraríamos junto a los cinco fonemas vocál</w:t>
      </w:r>
      <w:r>
        <w:t>i</w:t>
      </w:r>
      <w:r>
        <w:t xml:space="preserve">cos básicos estos otros: </w:t>
      </w:r>
      <w:r>
        <w:rPr>
          <w:rStyle w:val="ipa"/>
        </w:rPr>
        <w:t>[aː]</w:t>
      </w:r>
      <w:r>
        <w:t xml:space="preserve">, </w:t>
      </w:r>
      <w:r>
        <w:rPr>
          <w:rStyle w:val="ipa"/>
        </w:rPr>
        <w:t>[eː]</w:t>
      </w:r>
      <w:r>
        <w:t xml:space="preserve">, </w:t>
      </w:r>
      <w:r>
        <w:rPr>
          <w:rStyle w:val="ipa"/>
        </w:rPr>
        <w:t>[iː]</w:t>
      </w:r>
      <w:r>
        <w:t xml:space="preserve">, </w:t>
      </w:r>
      <w:r>
        <w:rPr>
          <w:rStyle w:val="ipa"/>
        </w:rPr>
        <w:t>[oː]</w:t>
      </w:r>
      <w:r>
        <w:t xml:space="preserve"> y </w:t>
      </w:r>
      <w:r>
        <w:rPr>
          <w:rStyle w:val="ipa"/>
        </w:rPr>
        <w:t>[uː]</w:t>
      </w:r>
      <w:r>
        <w:t xml:space="preserve">. En la ortografía tahitiana este alargamiento se indica con el </w:t>
      </w:r>
      <w:hyperlink r:id="rId139" w:tooltip="Macrón" w:history="1">
        <w:proofErr w:type="spellStart"/>
        <w:r>
          <w:rPr>
            <w:rStyle w:val="Hipervnculo"/>
          </w:rPr>
          <w:t>macrón</w:t>
        </w:r>
        <w:proofErr w:type="spellEnd"/>
      </w:hyperlink>
      <w:r>
        <w:t xml:space="preserve"> (¯). La combinación de un golpe de glotis (’) y una vocal larga (como </w:t>
      </w:r>
      <w:r>
        <w:rPr>
          <w:i/>
          <w:iCs/>
        </w:rPr>
        <w:t>ā</w:t>
      </w:r>
      <w:r>
        <w:t>) no causa ninguna modif</w:t>
      </w:r>
      <w:r>
        <w:t>i</w:t>
      </w:r>
      <w:r>
        <w:t xml:space="preserve">cación, sino una sucesión de caracteres: </w:t>
      </w:r>
      <w:r>
        <w:rPr>
          <w:i/>
          <w:iCs/>
        </w:rPr>
        <w:t>’</w:t>
      </w:r>
      <w:proofErr w:type="spellStart"/>
      <w:r>
        <w:rPr>
          <w:i/>
          <w:iCs/>
        </w:rPr>
        <w:t>āpī</w:t>
      </w:r>
      <w:proofErr w:type="spellEnd"/>
      <w:r>
        <w:t xml:space="preserve"> ("nuevo"). Hay que tener en cuenta que estos alargamientos vocálicos o golpes de glotis pueden cambiar mucho el significado de una palabra: </w:t>
      </w:r>
      <w:proofErr w:type="spellStart"/>
      <w:r>
        <w:rPr>
          <w:i/>
          <w:iCs/>
        </w:rPr>
        <w:t>ava</w:t>
      </w:r>
      <w:proofErr w:type="spellEnd"/>
      <w:r>
        <w:t xml:space="preserve"> ("paso entre arrec</w:t>
      </w:r>
      <w:r>
        <w:t>i</w:t>
      </w:r>
      <w:r>
        <w:t xml:space="preserve">fes"), </w:t>
      </w:r>
      <w:r>
        <w:rPr>
          <w:i/>
          <w:iCs/>
        </w:rPr>
        <w:t>’</w:t>
      </w:r>
      <w:proofErr w:type="spellStart"/>
      <w:r>
        <w:rPr>
          <w:i/>
          <w:iCs/>
        </w:rPr>
        <w:t>ava</w:t>
      </w:r>
      <w:proofErr w:type="spellEnd"/>
      <w:r>
        <w:t xml:space="preserve"> (bebida fuerte); </w:t>
      </w:r>
      <w:proofErr w:type="spellStart"/>
      <w:r>
        <w:rPr>
          <w:i/>
          <w:iCs/>
        </w:rPr>
        <w:t>piti</w:t>
      </w:r>
      <w:proofErr w:type="spellEnd"/>
      <w:r>
        <w:t xml:space="preserve"> ("dos"), </w:t>
      </w:r>
      <w:proofErr w:type="spellStart"/>
      <w:r>
        <w:rPr>
          <w:i/>
          <w:iCs/>
        </w:rPr>
        <w:t>pītī</w:t>
      </w:r>
      <w:proofErr w:type="spellEnd"/>
      <w:r>
        <w:t xml:space="preserve"> (especie de árbol).</w:t>
      </w:r>
    </w:p>
    <w:p w:rsidR="004E7E54" w:rsidRDefault="004E7E54" w:rsidP="004E7E54">
      <w:pPr>
        <w:pStyle w:val="NormalWeb"/>
      </w:pPr>
      <w:r>
        <w:t>En tahitiano se pueden encontrar las siguientes composiciones silábicas: vocal, vocal-vocal, o consonante-vocal.</w:t>
      </w:r>
      <w:hyperlink r:id="rId140" w:anchor="cite_note-Diccionario_Espasa-1" w:history="1">
        <w:r>
          <w:rPr>
            <w:rStyle w:val="Hipervnculo"/>
            <w:vertAlign w:val="superscript"/>
          </w:rPr>
          <w:t>1</w:t>
        </w:r>
      </w:hyperlink>
    </w:p>
    <w:p w:rsidR="004E7E54" w:rsidRDefault="004E7E54" w:rsidP="004E7E54">
      <w:pPr>
        <w:pStyle w:val="NormalWeb"/>
      </w:pPr>
      <w:r>
        <w:t>Como excepción gráfica, en el tahitiano se usa la diéresis (</w:t>
      </w:r>
      <w:r>
        <w:rPr>
          <w:b/>
          <w:bCs/>
        </w:rPr>
        <w:t>¨</w:t>
      </w:r>
      <w:r>
        <w:t xml:space="preserve">, </w:t>
      </w:r>
      <w:r>
        <w:rPr>
          <w:i/>
          <w:iCs/>
        </w:rPr>
        <w:t>toro ’</w:t>
      </w:r>
      <w:proofErr w:type="spellStart"/>
      <w:r>
        <w:rPr>
          <w:i/>
          <w:iCs/>
        </w:rPr>
        <w:t>a’ï</w:t>
      </w:r>
      <w:proofErr w:type="spellEnd"/>
      <w:r>
        <w:t xml:space="preserve">) en el determinante </w:t>
      </w:r>
      <w:proofErr w:type="spellStart"/>
      <w:r>
        <w:rPr>
          <w:i/>
          <w:iCs/>
        </w:rPr>
        <w:t>ïa</w:t>
      </w:r>
      <w:proofErr w:type="spellEnd"/>
      <w:r>
        <w:t>.</w:t>
      </w:r>
    </w:p>
    <w:p w:rsidR="004E7E54" w:rsidRDefault="004E7E54" w:rsidP="004E7E54">
      <w:pPr>
        <w:pStyle w:val="NormalWeb"/>
      </w:pPr>
      <w:r>
        <w:t>La equivalencia entre la grafía y el fonema quedaría como sigue:</w:t>
      </w:r>
    </w:p>
    <w:tbl>
      <w:tblPr>
        <w:tblW w:w="1500" w:type="pct"/>
        <w:tblCellSpacing w:w="15" w:type="dxa"/>
        <w:tblCellMar>
          <w:top w:w="15" w:type="dxa"/>
          <w:left w:w="15" w:type="dxa"/>
          <w:bottom w:w="15" w:type="dxa"/>
          <w:right w:w="15" w:type="dxa"/>
        </w:tblCellMar>
        <w:tblLook w:val="04A0"/>
      </w:tblPr>
      <w:tblGrid>
        <w:gridCol w:w="1236"/>
        <w:gridCol w:w="1931"/>
      </w:tblGrid>
      <w:tr w:rsidR="004E7E54" w:rsidTr="004E7E54">
        <w:trPr>
          <w:tblCellSpacing w:w="15" w:type="dxa"/>
        </w:trPr>
        <w:tc>
          <w:tcPr>
            <w:tcW w:w="0" w:type="auto"/>
            <w:vAlign w:val="center"/>
            <w:hideMark/>
          </w:tcPr>
          <w:p w:rsidR="004E7E54" w:rsidRDefault="004E7E54">
            <w:pPr>
              <w:jc w:val="center"/>
              <w:rPr>
                <w:b/>
                <w:bCs/>
              </w:rPr>
            </w:pPr>
            <w:r>
              <w:rPr>
                <w:b/>
                <w:bCs/>
              </w:rPr>
              <w:t>Grafía</w:t>
            </w:r>
          </w:p>
        </w:tc>
        <w:tc>
          <w:tcPr>
            <w:tcW w:w="0" w:type="auto"/>
            <w:vAlign w:val="center"/>
            <w:hideMark/>
          </w:tcPr>
          <w:p w:rsidR="004E7E54" w:rsidRDefault="004E7E54">
            <w:pPr>
              <w:jc w:val="center"/>
              <w:rPr>
                <w:b/>
                <w:bCs/>
              </w:rPr>
            </w:pPr>
            <w:r>
              <w:rPr>
                <w:b/>
                <w:bCs/>
              </w:rPr>
              <w:t>Fonema</w:t>
            </w:r>
          </w:p>
        </w:tc>
      </w:tr>
      <w:tr w:rsidR="004E7E54" w:rsidTr="004E7E54">
        <w:trPr>
          <w:tblCellSpacing w:w="15" w:type="dxa"/>
        </w:trPr>
        <w:tc>
          <w:tcPr>
            <w:tcW w:w="0" w:type="auto"/>
            <w:vAlign w:val="center"/>
            <w:hideMark/>
          </w:tcPr>
          <w:p w:rsidR="004E7E54" w:rsidRDefault="004E7E54">
            <w:pPr>
              <w:jc w:val="center"/>
            </w:pPr>
            <w:r>
              <w:rPr>
                <w:b/>
                <w:bCs/>
              </w:rPr>
              <w:t>a</w:t>
            </w:r>
          </w:p>
        </w:tc>
        <w:tc>
          <w:tcPr>
            <w:tcW w:w="0" w:type="auto"/>
            <w:vAlign w:val="center"/>
            <w:hideMark/>
          </w:tcPr>
          <w:p w:rsidR="004E7E54" w:rsidRDefault="004E7E54">
            <w:pPr>
              <w:jc w:val="center"/>
            </w:pPr>
            <w:r>
              <w:rPr>
                <w:rStyle w:val="ipa"/>
              </w:rPr>
              <w:t>[a]</w:t>
            </w:r>
          </w:p>
        </w:tc>
      </w:tr>
      <w:tr w:rsidR="004E7E54" w:rsidTr="004E7E54">
        <w:trPr>
          <w:tblCellSpacing w:w="15" w:type="dxa"/>
        </w:trPr>
        <w:tc>
          <w:tcPr>
            <w:tcW w:w="0" w:type="auto"/>
            <w:vAlign w:val="center"/>
            <w:hideMark/>
          </w:tcPr>
          <w:p w:rsidR="004E7E54" w:rsidRDefault="004E7E54">
            <w:pPr>
              <w:jc w:val="center"/>
            </w:pPr>
            <w:r>
              <w:rPr>
                <w:b/>
                <w:bCs/>
              </w:rPr>
              <w:t>ā</w:t>
            </w:r>
          </w:p>
        </w:tc>
        <w:tc>
          <w:tcPr>
            <w:tcW w:w="0" w:type="auto"/>
            <w:vAlign w:val="center"/>
            <w:hideMark/>
          </w:tcPr>
          <w:p w:rsidR="004E7E54" w:rsidRDefault="004E7E54">
            <w:pPr>
              <w:jc w:val="center"/>
            </w:pPr>
            <w:r>
              <w:rPr>
                <w:rStyle w:val="ipa"/>
              </w:rPr>
              <w:t>[aː]</w:t>
            </w:r>
          </w:p>
        </w:tc>
      </w:tr>
      <w:tr w:rsidR="004E7E54" w:rsidTr="004E7E54">
        <w:trPr>
          <w:tblCellSpacing w:w="15" w:type="dxa"/>
        </w:trPr>
        <w:tc>
          <w:tcPr>
            <w:tcW w:w="0" w:type="auto"/>
            <w:vAlign w:val="center"/>
            <w:hideMark/>
          </w:tcPr>
          <w:p w:rsidR="004E7E54" w:rsidRDefault="004E7E54">
            <w:pPr>
              <w:jc w:val="center"/>
            </w:pPr>
            <w:r>
              <w:rPr>
                <w:b/>
                <w:bCs/>
              </w:rPr>
              <w:t>e</w:t>
            </w:r>
          </w:p>
        </w:tc>
        <w:tc>
          <w:tcPr>
            <w:tcW w:w="0" w:type="auto"/>
            <w:vAlign w:val="center"/>
            <w:hideMark/>
          </w:tcPr>
          <w:p w:rsidR="004E7E54" w:rsidRDefault="004E7E54">
            <w:pPr>
              <w:jc w:val="center"/>
            </w:pPr>
            <w:r>
              <w:rPr>
                <w:rStyle w:val="ipa"/>
              </w:rPr>
              <w:t>[e]</w:t>
            </w:r>
          </w:p>
        </w:tc>
      </w:tr>
      <w:tr w:rsidR="004E7E54" w:rsidTr="004E7E54">
        <w:trPr>
          <w:tblCellSpacing w:w="15" w:type="dxa"/>
        </w:trPr>
        <w:tc>
          <w:tcPr>
            <w:tcW w:w="0" w:type="auto"/>
            <w:vAlign w:val="center"/>
            <w:hideMark/>
          </w:tcPr>
          <w:p w:rsidR="004E7E54" w:rsidRDefault="004E7E54">
            <w:pPr>
              <w:jc w:val="center"/>
            </w:pPr>
            <w:r>
              <w:rPr>
                <w:b/>
                <w:bCs/>
              </w:rPr>
              <w:t>ē</w:t>
            </w:r>
          </w:p>
        </w:tc>
        <w:tc>
          <w:tcPr>
            <w:tcW w:w="0" w:type="auto"/>
            <w:vAlign w:val="center"/>
            <w:hideMark/>
          </w:tcPr>
          <w:p w:rsidR="004E7E54" w:rsidRDefault="004E7E54">
            <w:pPr>
              <w:jc w:val="center"/>
            </w:pPr>
            <w:r>
              <w:rPr>
                <w:rStyle w:val="ipa"/>
              </w:rPr>
              <w:t>[eː]</w:t>
            </w:r>
          </w:p>
        </w:tc>
      </w:tr>
      <w:tr w:rsidR="004E7E54" w:rsidTr="004E7E54">
        <w:trPr>
          <w:tblCellSpacing w:w="15" w:type="dxa"/>
        </w:trPr>
        <w:tc>
          <w:tcPr>
            <w:tcW w:w="0" w:type="auto"/>
            <w:vAlign w:val="center"/>
            <w:hideMark/>
          </w:tcPr>
          <w:p w:rsidR="004E7E54" w:rsidRDefault="004E7E54">
            <w:pPr>
              <w:jc w:val="center"/>
            </w:pPr>
            <w:r>
              <w:rPr>
                <w:b/>
                <w:bCs/>
              </w:rPr>
              <w:t>f</w:t>
            </w:r>
          </w:p>
        </w:tc>
        <w:tc>
          <w:tcPr>
            <w:tcW w:w="0" w:type="auto"/>
            <w:vAlign w:val="center"/>
            <w:hideMark/>
          </w:tcPr>
          <w:p w:rsidR="004E7E54" w:rsidRDefault="004E7E54">
            <w:pPr>
              <w:jc w:val="center"/>
            </w:pPr>
            <w:r>
              <w:rPr>
                <w:rStyle w:val="ipa"/>
              </w:rPr>
              <w:t>[f]</w:t>
            </w:r>
          </w:p>
        </w:tc>
      </w:tr>
      <w:tr w:rsidR="004E7E54" w:rsidTr="004E7E54">
        <w:trPr>
          <w:tblCellSpacing w:w="15" w:type="dxa"/>
        </w:trPr>
        <w:tc>
          <w:tcPr>
            <w:tcW w:w="0" w:type="auto"/>
            <w:vAlign w:val="center"/>
            <w:hideMark/>
          </w:tcPr>
          <w:p w:rsidR="004E7E54" w:rsidRDefault="004E7E54">
            <w:pPr>
              <w:jc w:val="center"/>
            </w:pPr>
            <w:r>
              <w:rPr>
                <w:b/>
                <w:bCs/>
              </w:rPr>
              <w:t>h</w:t>
            </w:r>
          </w:p>
        </w:tc>
        <w:tc>
          <w:tcPr>
            <w:tcW w:w="0" w:type="auto"/>
            <w:vAlign w:val="center"/>
            <w:hideMark/>
          </w:tcPr>
          <w:p w:rsidR="004E7E54" w:rsidRDefault="004E7E54">
            <w:pPr>
              <w:jc w:val="center"/>
            </w:pPr>
            <w:r>
              <w:rPr>
                <w:rStyle w:val="ipa"/>
              </w:rPr>
              <w:t>[h]</w:t>
            </w:r>
          </w:p>
        </w:tc>
      </w:tr>
      <w:tr w:rsidR="004E7E54" w:rsidTr="004E7E54">
        <w:trPr>
          <w:tblCellSpacing w:w="15" w:type="dxa"/>
        </w:trPr>
        <w:tc>
          <w:tcPr>
            <w:tcW w:w="0" w:type="auto"/>
            <w:vAlign w:val="center"/>
            <w:hideMark/>
          </w:tcPr>
          <w:p w:rsidR="004E7E54" w:rsidRDefault="004E7E54">
            <w:pPr>
              <w:jc w:val="center"/>
            </w:pPr>
            <w:r>
              <w:rPr>
                <w:b/>
                <w:bCs/>
              </w:rPr>
              <w:t>i</w:t>
            </w:r>
          </w:p>
        </w:tc>
        <w:tc>
          <w:tcPr>
            <w:tcW w:w="0" w:type="auto"/>
            <w:vAlign w:val="center"/>
            <w:hideMark/>
          </w:tcPr>
          <w:p w:rsidR="004E7E54" w:rsidRDefault="004E7E54">
            <w:pPr>
              <w:jc w:val="center"/>
            </w:pPr>
            <w:r>
              <w:rPr>
                <w:rStyle w:val="ipa"/>
              </w:rPr>
              <w:t>[i]</w:t>
            </w:r>
          </w:p>
        </w:tc>
      </w:tr>
      <w:tr w:rsidR="004E7E54" w:rsidTr="004E7E54">
        <w:trPr>
          <w:tblCellSpacing w:w="15" w:type="dxa"/>
        </w:trPr>
        <w:tc>
          <w:tcPr>
            <w:tcW w:w="0" w:type="auto"/>
            <w:vAlign w:val="center"/>
            <w:hideMark/>
          </w:tcPr>
          <w:p w:rsidR="004E7E54" w:rsidRDefault="004E7E54">
            <w:pPr>
              <w:jc w:val="center"/>
            </w:pPr>
            <w:r>
              <w:rPr>
                <w:b/>
                <w:bCs/>
              </w:rPr>
              <w:t>ī</w:t>
            </w:r>
          </w:p>
        </w:tc>
        <w:tc>
          <w:tcPr>
            <w:tcW w:w="0" w:type="auto"/>
            <w:vAlign w:val="center"/>
            <w:hideMark/>
          </w:tcPr>
          <w:p w:rsidR="004E7E54" w:rsidRDefault="004E7E54">
            <w:pPr>
              <w:jc w:val="center"/>
            </w:pPr>
            <w:r>
              <w:rPr>
                <w:rStyle w:val="ipa"/>
              </w:rPr>
              <w:t>[iː]</w:t>
            </w:r>
          </w:p>
        </w:tc>
      </w:tr>
      <w:tr w:rsidR="004E7E54" w:rsidTr="004E7E54">
        <w:trPr>
          <w:tblCellSpacing w:w="15" w:type="dxa"/>
        </w:trPr>
        <w:tc>
          <w:tcPr>
            <w:tcW w:w="0" w:type="auto"/>
            <w:vAlign w:val="center"/>
            <w:hideMark/>
          </w:tcPr>
          <w:p w:rsidR="004E7E54" w:rsidRDefault="004E7E54">
            <w:pPr>
              <w:jc w:val="center"/>
            </w:pPr>
            <w:r>
              <w:rPr>
                <w:b/>
                <w:bCs/>
              </w:rPr>
              <w:t>m</w:t>
            </w:r>
          </w:p>
        </w:tc>
        <w:tc>
          <w:tcPr>
            <w:tcW w:w="0" w:type="auto"/>
            <w:vAlign w:val="center"/>
            <w:hideMark/>
          </w:tcPr>
          <w:p w:rsidR="004E7E54" w:rsidRDefault="004E7E54">
            <w:pPr>
              <w:jc w:val="center"/>
            </w:pPr>
            <w:r>
              <w:rPr>
                <w:rStyle w:val="ipa"/>
              </w:rPr>
              <w:t>[m]</w:t>
            </w:r>
          </w:p>
        </w:tc>
      </w:tr>
      <w:tr w:rsidR="004E7E54" w:rsidTr="004E7E54">
        <w:trPr>
          <w:tblCellSpacing w:w="15" w:type="dxa"/>
        </w:trPr>
        <w:tc>
          <w:tcPr>
            <w:tcW w:w="0" w:type="auto"/>
            <w:vAlign w:val="center"/>
            <w:hideMark/>
          </w:tcPr>
          <w:p w:rsidR="004E7E54" w:rsidRDefault="004E7E54">
            <w:pPr>
              <w:jc w:val="center"/>
            </w:pPr>
            <w:r>
              <w:rPr>
                <w:b/>
                <w:bCs/>
              </w:rPr>
              <w:t>n</w:t>
            </w:r>
          </w:p>
        </w:tc>
        <w:tc>
          <w:tcPr>
            <w:tcW w:w="0" w:type="auto"/>
            <w:vAlign w:val="center"/>
            <w:hideMark/>
          </w:tcPr>
          <w:p w:rsidR="004E7E54" w:rsidRDefault="004E7E54">
            <w:pPr>
              <w:jc w:val="center"/>
            </w:pPr>
            <w:r>
              <w:rPr>
                <w:rStyle w:val="ipa"/>
              </w:rPr>
              <w:t>[n]</w:t>
            </w:r>
          </w:p>
        </w:tc>
      </w:tr>
      <w:tr w:rsidR="004E7E54" w:rsidTr="004E7E54">
        <w:trPr>
          <w:tblCellSpacing w:w="15" w:type="dxa"/>
        </w:trPr>
        <w:tc>
          <w:tcPr>
            <w:tcW w:w="0" w:type="auto"/>
            <w:vAlign w:val="center"/>
            <w:hideMark/>
          </w:tcPr>
          <w:p w:rsidR="004E7E54" w:rsidRDefault="004E7E54">
            <w:pPr>
              <w:jc w:val="center"/>
            </w:pPr>
            <w:r>
              <w:rPr>
                <w:b/>
                <w:bCs/>
              </w:rPr>
              <w:t>o</w:t>
            </w:r>
          </w:p>
        </w:tc>
        <w:tc>
          <w:tcPr>
            <w:tcW w:w="0" w:type="auto"/>
            <w:vAlign w:val="center"/>
            <w:hideMark/>
          </w:tcPr>
          <w:p w:rsidR="004E7E54" w:rsidRDefault="004E7E54">
            <w:pPr>
              <w:jc w:val="center"/>
            </w:pPr>
            <w:r>
              <w:rPr>
                <w:rStyle w:val="ipa"/>
              </w:rPr>
              <w:t>[o]</w:t>
            </w:r>
          </w:p>
        </w:tc>
      </w:tr>
      <w:tr w:rsidR="004E7E54" w:rsidTr="004E7E54">
        <w:trPr>
          <w:tblCellSpacing w:w="15" w:type="dxa"/>
        </w:trPr>
        <w:tc>
          <w:tcPr>
            <w:tcW w:w="0" w:type="auto"/>
            <w:vAlign w:val="center"/>
            <w:hideMark/>
          </w:tcPr>
          <w:p w:rsidR="004E7E54" w:rsidRDefault="004E7E54">
            <w:pPr>
              <w:jc w:val="center"/>
            </w:pPr>
            <w:r>
              <w:rPr>
                <w:b/>
                <w:bCs/>
              </w:rPr>
              <w:t>ō</w:t>
            </w:r>
          </w:p>
        </w:tc>
        <w:tc>
          <w:tcPr>
            <w:tcW w:w="0" w:type="auto"/>
            <w:vAlign w:val="center"/>
            <w:hideMark/>
          </w:tcPr>
          <w:p w:rsidR="004E7E54" w:rsidRDefault="004E7E54">
            <w:pPr>
              <w:jc w:val="center"/>
            </w:pPr>
            <w:r>
              <w:rPr>
                <w:rStyle w:val="ipa"/>
              </w:rPr>
              <w:t>[oː]</w:t>
            </w:r>
          </w:p>
        </w:tc>
      </w:tr>
      <w:tr w:rsidR="004E7E54" w:rsidTr="004E7E54">
        <w:trPr>
          <w:tblCellSpacing w:w="15" w:type="dxa"/>
        </w:trPr>
        <w:tc>
          <w:tcPr>
            <w:tcW w:w="0" w:type="auto"/>
            <w:vAlign w:val="center"/>
            <w:hideMark/>
          </w:tcPr>
          <w:p w:rsidR="004E7E54" w:rsidRDefault="004E7E54">
            <w:pPr>
              <w:jc w:val="center"/>
            </w:pPr>
            <w:r>
              <w:rPr>
                <w:b/>
                <w:bCs/>
              </w:rPr>
              <w:t>p</w:t>
            </w:r>
          </w:p>
        </w:tc>
        <w:tc>
          <w:tcPr>
            <w:tcW w:w="0" w:type="auto"/>
            <w:vAlign w:val="center"/>
            <w:hideMark/>
          </w:tcPr>
          <w:p w:rsidR="004E7E54" w:rsidRDefault="004E7E54">
            <w:pPr>
              <w:jc w:val="center"/>
            </w:pPr>
            <w:r>
              <w:rPr>
                <w:rStyle w:val="ipa"/>
              </w:rPr>
              <w:t>[p]</w:t>
            </w:r>
          </w:p>
        </w:tc>
      </w:tr>
      <w:tr w:rsidR="004E7E54" w:rsidTr="004E7E54">
        <w:trPr>
          <w:tblCellSpacing w:w="15" w:type="dxa"/>
        </w:trPr>
        <w:tc>
          <w:tcPr>
            <w:tcW w:w="0" w:type="auto"/>
            <w:vAlign w:val="center"/>
            <w:hideMark/>
          </w:tcPr>
          <w:p w:rsidR="004E7E54" w:rsidRDefault="004E7E54">
            <w:pPr>
              <w:jc w:val="center"/>
            </w:pPr>
            <w:r>
              <w:rPr>
                <w:b/>
                <w:bCs/>
              </w:rPr>
              <w:t>r</w:t>
            </w:r>
          </w:p>
        </w:tc>
        <w:tc>
          <w:tcPr>
            <w:tcW w:w="0" w:type="auto"/>
            <w:vAlign w:val="center"/>
            <w:hideMark/>
          </w:tcPr>
          <w:p w:rsidR="004E7E54" w:rsidRDefault="004E7E54">
            <w:pPr>
              <w:jc w:val="center"/>
            </w:pPr>
            <w:r>
              <w:rPr>
                <w:rStyle w:val="ipa"/>
              </w:rPr>
              <w:t>[ɾ]</w:t>
            </w:r>
          </w:p>
        </w:tc>
      </w:tr>
      <w:tr w:rsidR="004E7E54" w:rsidTr="004E7E54">
        <w:trPr>
          <w:tblCellSpacing w:w="15" w:type="dxa"/>
        </w:trPr>
        <w:tc>
          <w:tcPr>
            <w:tcW w:w="0" w:type="auto"/>
            <w:vAlign w:val="center"/>
            <w:hideMark/>
          </w:tcPr>
          <w:p w:rsidR="004E7E54" w:rsidRDefault="004E7E54">
            <w:pPr>
              <w:jc w:val="center"/>
            </w:pPr>
            <w:r>
              <w:rPr>
                <w:b/>
                <w:bCs/>
              </w:rPr>
              <w:t>t</w:t>
            </w:r>
          </w:p>
        </w:tc>
        <w:tc>
          <w:tcPr>
            <w:tcW w:w="0" w:type="auto"/>
            <w:vAlign w:val="center"/>
            <w:hideMark/>
          </w:tcPr>
          <w:p w:rsidR="004E7E54" w:rsidRDefault="004E7E54">
            <w:pPr>
              <w:jc w:val="center"/>
            </w:pPr>
            <w:r>
              <w:rPr>
                <w:rStyle w:val="ipa"/>
              </w:rPr>
              <w:t>[t]</w:t>
            </w:r>
          </w:p>
        </w:tc>
      </w:tr>
      <w:tr w:rsidR="004E7E54" w:rsidTr="004E7E54">
        <w:trPr>
          <w:tblCellSpacing w:w="15" w:type="dxa"/>
        </w:trPr>
        <w:tc>
          <w:tcPr>
            <w:tcW w:w="0" w:type="auto"/>
            <w:vAlign w:val="center"/>
            <w:hideMark/>
          </w:tcPr>
          <w:p w:rsidR="004E7E54" w:rsidRDefault="004E7E54">
            <w:pPr>
              <w:jc w:val="center"/>
            </w:pPr>
            <w:r>
              <w:rPr>
                <w:b/>
                <w:bCs/>
              </w:rPr>
              <w:t>u</w:t>
            </w:r>
          </w:p>
        </w:tc>
        <w:tc>
          <w:tcPr>
            <w:tcW w:w="0" w:type="auto"/>
            <w:vAlign w:val="center"/>
            <w:hideMark/>
          </w:tcPr>
          <w:p w:rsidR="004E7E54" w:rsidRDefault="004E7E54">
            <w:pPr>
              <w:jc w:val="center"/>
            </w:pPr>
            <w:r>
              <w:rPr>
                <w:rStyle w:val="ipa"/>
              </w:rPr>
              <w:t>[u]</w:t>
            </w:r>
          </w:p>
        </w:tc>
      </w:tr>
      <w:tr w:rsidR="004E7E54" w:rsidTr="004E7E54">
        <w:trPr>
          <w:tblCellSpacing w:w="15" w:type="dxa"/>
        </w:trPr>
        <w:tc>
          <w:tcPr>
            <w:tcW w:w="0" w:type="auto"/>
            <w:vAlign w:val="center"/>
            <w:hideMark/>
          </w:tcPr>
          <w:p w:rsidR="004E7E54" w:rsidRDefault="004E7E54">
            <w:pPr>
              <w:jc w:val="center"/>
            </w:pPr>
            <w:r>
              <w:rPr>
                <w:b/>
                <w:bCs/>
              </w:rPr>
              <w:t>ū</w:t>
            </w:r>
          </w:p>
        </w:tc>
        <w:tc>
          <w:tcPr>
            <w:tcW w:w="0" w:type="auto"/>
            <w:vAlign w:val="center"/>
            <w:hideMark/>
          </w:tcPr>
          <w:p w:rsidR="004E7E54" w:rsidRDefault="004E7E54">
            <w:pPr>
              <w:jc w:val="center"/>
            </w:pPr>
            <w:r>
              <w:rPr>
                <w:rStyle w:val="ipa"/>
              </w:rPr>
              <w:t>[uː]</w:t>
            </w:r>
          </w:p>
        </w:tc>
      </w:tr>
      <w:tr w:rsidR="004E7E54" w:rsidTr="004E7E54">
        <w:trPr>
          <w:tblCellSpacing w:w="15" w:type="dxa"/>
        </w:trPr>
        <w:tc>
          <w:tcPr>
            <w:tcW w:w="0" w:type="auto"/>
            <w:vAlign w:val="center"/>
            <w:hideMark/>
          </w:tcPr>
          <w:p w:rsidR="004E7E54" w:rsidRDefault="004E7E54">
            <w:pPr>
              <w:jc w:val="center"/>
            </w:pPr>
            <w:r>
              <w:rPr>
                <w:b/>
                <w:bCs/>
              </w:rPr>
              <w:t>v</w:t>
            </w:r>
          </w:p>
        </w:tc>
        <w:tc>
          <w:tcPr>
            <w:tcW w:w="0" w:type="auto"/>
            <w:vAlign w:val="center"/>
            <w:hideMark/>
          </w:tcPr>
          <w:p w:rsidR="004E7E54" w:rsidRDefault="004E7E54">
            <w:pPr>
              <w:jc w:val="center"/>
            </w:pPr>
            <w:r>
              <w:rPr>
                <w:rStyle w:val="ipa"/>
              </w:rPr>
              <w:t>[v]</w:t>
            </w:r>
          </w:p>
        </w:tc>
      </w:tr>
      <w:tr w:rsidR="004E7E54" w:rsidTr="004E7E54">
        <w:trPr>
          <w:tblCellSpacing w:w="15" w:type="dxa"/>
        </w:trPr>
        <w:tc>
          <w:tcPr>
            <w:tcW w:w="0" w:type="auto"/>
            <w:vAlign w:val="center"/>
            <w:hideMark/>
          </w:tcPr>
          <w:p w:rsidR="004E7E54" w:rsidRDefault="004E7E54">
            <w:pPr>
              <w:jc w:val="center"/>
            </w:pPr>
            <w:r>
              <w:rPr>
                <w:b/>
                <w:bCs/>
              </w:rPr>
              <w:t>’</w:t>
            </w:r>
          </w:p>
        </w:tc>
        <w:tc>
          <w:tcPr>
            <w:tcW w:w="0" w:type="auto"/>
            <w:vAlign w:val="center"/>
            <w:hideMark/>
          </w:tcPr>
          <w:p w:rsidR="004E7E54" w:rsidRDefault="004E7E54">
            <w:pPr>
              <w:jc w:val="center"/>
            </w:pPr>
            <w:r>
              <w:rPr>
                <w:rStyle w:val="ipa"/>
              </w:rPr>
              <w:t>[ʔ]</w:t>
            </w:r>
            <w:r>
              <w:br/>
            </w:r>
            <w:hyperlink r:id="rId141" w:history="1">
              <w:r w:rsidR="00FE7F35" w:rsidRPr="00FE7F35">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tspkr.png" href="https://commons.wikimedia.org/wiki/File:Ltspkr.png" style="width:9.75pt;height:7.5pt" o:button="t"/>
                </w:pict>
              </w:r>
            </w:hyperlink>
            <w:hyperlink r:id="rId142" w:tooltip="Glottal stop.ogg" w:history="1">
              <w:r>
                <w:rPr>
                  <w:rStyle w:val="Hipervnculo"/>
                </w:rPr>
                <w:t xml:space="preserve">oíd </w:t>
              </w:r>
              <w:r>
                <w:rPr>
                  <w:rStyle w:val="ipa"/>
                  <w:color w:val="0000FF"/>
                  <w:u w:val="single"/>
                </w:rPr>
                <w:t>[</w:t>
              </w:r>
              <w:proofErr w:type="spellStart"/>
              <w:r>
                <w:rPr>
                  <w:rStyle w:val="ipa"/>
                  <w:color w:val="0000FF"/>
                  <w:u w:val="single"/>
                </w:rPr>
                <w:t>aʔa</w:t>
              </w:r>
              <w:proofErr w:type="spellEnd"/>
              <w:r>
                <w:rPr>
                  <w:rStyle w:val="ipa"/>
                  <w:color w:val="0000FF"/>
                  <w:u w:val="single"/>
                </w:rPr>
                <w:t>]</w:t>
              </w:r>
            </w:hyperlink>
          </w:p>
        </w:tc>
      </w:tr>
    </w:tbl>
    <w:p w:rsidR="004E7E54" w:rsidRDefault="004E7E54" w:rsidP="004E7E54">
      <w:pPr>
        <w:pStyle w:val="Ttulo4"/>
      </w:pPr>
      <w:r>
        <w:rPr>
          <w:rStyle w:val="mw-headline"/>
        </w:rPr>
        <w:t>Contactos y transformaciones vocálicos</w:t>
      </w:r>
    </w:p>
    <w:p w:rsidR="004E7E54" w:rsidRDefault="004E7E54" w:rsidP="004E7E54">
      <w:pPr>
        <w:pStyle w:val="NormalWeb"/>
      </w:pPr>
      <w:r>
        <w:t>La combinación y transformación de vocales en tahitiano tampoco presenta complicaciones. La pronunci</w:t>
      </w:r>
      <w:r>
        <w:t>a</w:t>
      </w:r>
      <w:r>
        <w:lastRenderedPageBreak/>
        <w:t xml:space="preserve">ción no varía al combinar las vocales entre ellas, ya sean breves o largas, por lo que se puede decir que hay un predominio del </w:t>
      </w:r>
      <w:hyperlink r:id="rId143" w:tooltip="Hiato" w:history="1">
        <w:r>
          <w:rPr>
            <w:rStyle w:val="Hipervnculo"/>
          </w:rPr>
          <w:t>hiato</w:t>
        </w:r>
      </w:hyperlink>
      <w:r>
        <w:t xml:space="preserve"> en el contacto vocálico. Solamente hay cinco contactos vocálicos que presentan una transformación de alguna de las vocales:</w:t>
      </w:r>
    </w:p>
    <w:p w:rsidR="004E7E54" w:rsidRDefault="004E7E54" w:rsidP="004E7E54">
      <w:pPr>
        <w:widowControl/>
        <w:numPr>
          <w:ilvl w:val="0"/>
          <w:numId w:val="8"/>
        </w:numPr>
        <w:autoSpaceDE/>
        <w:autoSpaceDN/>
        <w:adjustRightInd/>
        <w:spacing w:before="100" w:beforeAutospacing="1" w:after="100" w:afterAutospacing="1"/>
      </w:pPr>
      <w:proofErr w:type="spellStart"/>
      <w:r>
        <w:rPr>
          <w:b/>
          <w:bCs/>
        </w:rPr>
        <w:t>ai</w:t>
      </w:r>
      <w:proofErr w:type="spellEnd"/>
      <w:r>
        <w:t xml:space="preserve">, en este caso la </w:t>
      </w:r>
      <w:r>
        <w:rPr>
          <w:i/>
          <w:iCs/>
        </w:rPr>
        <w:t>i</w:t>
      </w:r>
      <w:r>
        <w:t xml:space="preserve"> se convierte en la semiconsonante </w:t>
      </w:r>
      <w:r>
        <w:rPr>
          <w:rStyle w:val="ipa"/>
        </w:rPr>
        <w:t>[j]</w:t>
      </w:r>
      <w:r>
        <w:t xml:space="preserve">: </w:t>
      </w:r>
      <w:r>
        <w:rPr>
          <w:rStyle w:val="ipa"/>
        </w:rPr>
        <w:t>[aj]</w:t>
      </w:r>
      <w:r>
        <w:t>.</w:t>
      </w:r>
    </w:p>
    <w:p w:rsidR="004E7E54" w:rsidRDefault="004E7E54" w:rsidP="004E7E54">
      <w:pPr>
        <w:widowControl/>
        <w:numPr>
          <w:ilvl w:val="0"/>
          <w:numId w:val="8"/>
        </w:numPr>
        <w:autoSpaceDE/>
        <w:autoSpaceDN/>
        <w:adjustRightInd/>
        <w:spacing w:before="100" w:beforeAutospacing="1" w:after="100" w:afterAutospacing="1"/>
      </w:pPr>
      <w:proofErr w:type="spellStart"/>
      <w:r>
        <w:rPr>
          <w:b/>
          <w:bCs/>
        </w:rPr>
        <w:t>ae</w:t>
      </w:r>
      <w:proofErr w:type="spellEnd"/>
      <w:r>
        <w:t xml:space="preserve">, en este caso la </w:t>
      </w:r>
      <w:r>
        <w:rPr>
          <w:i/>
          <w:iCs/>
        </w:rPr>
        <w:t>e</w:t>
      </w:r>
      <w:r>
        <w:t xml:space="preserve"> se convierte en la </w:t>
      </w:r>
      <w:hyperlink r:id="rId144" w:tooltip="Vocal semiabierta anterior (aún no redactado)" w:history="1">
        <w:r>
          <w:rPr>
            <w:rStyle w:val="Hipervnculo"/>
          </w:rPr>
          <w:t xml:space="preserve">vocal </w:t>
        </w:r>
        <w:proofErr w:type="spellStart"/>
        <w:r>
          <w:rPr>
            <w:rStyle w:val="Hipervnculo"/>
          </w:rPr>
          <w:t>semiabierta</w:t>
        </w:r>
        <w:proofErr w:type="spellEnd"/>
        <w:r>
          <w:rPr>
            <w:rStyle w:val="Hipervnculo"/>
          </w:rPr>
          <w:t xml:space="preserve"> anterior</w:t>
        </w:r>
      </w:hyperlink>
      <w:r>
        <w:t xml:space="preserve"> (</w:t>
      </w:r>
      <w:r>
        <w:rPr>
          <w:rStyle w:val="ipa"/>
        </w:rPr>
        <w:t>[ɛ]</w:t>
      </w:r>
      <w:r>
        <w:t xml:space="preserve">): </w:t>
      </w:r>
      <w:r>
        <w:rPr>
          <w:rStyle w:val="ipa"/>
        </w:rPr>
        <w:t>[</w:t>
      </w:r>
      <w:proofErr w:type="spellStart"/>
      <w:r>
        <w:rPr>
          <w:rStyle w:val="ipa"/>
        </w:rPr>
        <w:t>aɛ</w:t>
      </w:r>
      <w:proofErr w:type="spellEnd"/>
      <w:r>
        <w:rPr>
          <w:rStyle w:val="ipa"/>
        </w:rPr>
        <w:t>]</w:t>
      </w:r>
      <w:r>
        <w:t>. La pronunci</w:t>
      </w:r>
      <w:r>
        <w:t>a</w:t>
      </w:r>
      <w:r>
        <w:t xml:space="preserve">ción relajada puede hacer que </w:t>
      </w:r>
      <w:r>
        <w:rPr>
          <w:rStyle w:val="ipa"/>
        </w:rPr>
        <w:t>[</w:t>
      </w:r>
      <w:proofErr w:type="spellStart"/>
      <w:r>
        <w:rPr>
          <w:rStyle w:val="ipa"/>
        </w:rPr>
        <w:t>aɛ</w:t>
      </w:r>
      <w:proofErr w:type="spellEnd"/>
      <w:r>
        <w:rPr>
          <w:rStyle w:val="ipa"/>
        </w:rPr>
        <w:t>]</w:t>
      </w:r>
      <w:r>
        <w:t xml:space="preserve"> se convierta solamente en </w:t>
      </w:r>
      <w:r>
        <w:rPr>
          <w:rStyle w:val="ipa"/>
        </w:rPr>
        <w:t>[ɛ]</w:t>
      </w:r>
      <w:r>
        <w:t>.</w:t>
      </w:r>
    </w:p>
    <w:p w:rsidR="004E7E54" w:rsidRDefault="004E7E54" w:rsidP="004E7E54">
      <w:pPr>
        <w:widowControl/>
        <w:numPr>
          <w:ilvl w:val="0"/>
          <w:numId w:val="8"/>
        </w:numPr>
        <w:autoSpaceDE/>
        <w:autoSpaceDN/>
        <w:adjustRightInd/>
        <w:spacing w:before="100" w:beforeAutospacing="1" w:after="100" w:afterAutospacing="1"/>
      </w:pPr>
      <w:proofErr w:type="spellStart"/>
      <w:r>
        <w:rPr>
          <w:b/>
          <w:bCs/>
        </w:rPr>
        <w:t>oi</w:t>
      </w:r>
      <w:proofErr w:type="spellEnd"/>
      <w:r>
        <w:t xml:space="preserve">, en este caso la </w:t>
      </w:r>
      <w:r>
        <w:rPr>
          <w:i/>
          <w:iCs/>
        </w:rPr>
        <w:t>o</w:t>
      </w:r>
      <w:r>
        <w:t xml:space="preserve"> puede tender a sonar como una </w:t>
      </w:r>
      <w:hyperlink r:id="rId145" w:tooltip="Vocal semiabierta anterior (aún no redactado)" w:history="1">
        <w:r>
          <w:rPr>
            <w:rStyle w:val="Hipervnculo"/>
          </w:rPr>
          <w:t xml:space="preserve">vocal </w:t>
        </w:r>
        <w:proofErr w:type="spellStart"/>
        <w:r>
          <w:rPr>
            <w:rStyle w:val="Hipervnculo"/>
          </w:rPr>
          <w:t>semiabierta</w:t>
        </w:r>
        <w:proofErr w:type="spellEnd"/>
        <w:r>
          <w:rPr>
            <w:rStyle w:val="Hipervnculo"/>
          </w:rPr>
          <w:t xml:space="preserve"> anterior</w:t>
        </w:r>
      </w:hyperlink>
      <w:r>
        <w:t xml:space="preserve"> (</w:t>
      </w:r>
      <w:r>
        <w:rPr>
          <w:rStyle w:val="ipa"/>
        </w:rPr>
        <w:t>[œ]</w:t>
      </w:r>
      <w:r>
        <w:t xml:space="preserve">): </w:t>
      </w:r>
      <w:r>
        <w:rPr>
          <w:rStyle w:val="ipa"/>
        </w:rPr>
        <w:t>[</w:t>
      </w:r>
      <w:proofErr w:type="spellStart"/>
      <w:r>
        <w:rPr>
          <w:rStyle w:val="ipa"/>
        </w:rPr>
        <w:t>œi</w:t>
      </w:r>
      <w:proofErr w:type="spellEnd"/>
      <w:r>
        <w:rPr>
          <w:rStyle w:val="ipa"/>
        </w:rPr>
        <w:t>]</w:t>
      </w:r>
      <w:r>
        <w:t>.</w:t>
      </w:r>
    </w:p>
    <w:p w:rsidR="004E7E54" w:rsidRDefault="004E7E54" w:rsidP="004E7E54">
      <w:pPr>
        <w:widowControl/>
        <w:numPr>
          <w:ilvl w:val="0"/>
          <w:numId w:val="8"/>
        </w:numPr>
        <w:autoSpaceDE/>
        <w:autoSpaceDN/>
        <w:adjustRightInd/>
        <w:spacing w:before="100" w:beforeAutospacing="1" w:after="100" w:afterAutospacing="1"/>
      </w:pPr>
      <w:proofErr w:type="spellStart"/>
      <w:r>
        <w:rPr>
          <w:b/>
          <w:bCs/>
        </w:rPr>
        <w:t>ao</w:t>
      </w:r>
      <w:proofErr w:type="spellEnd"/>
      <w:r>
        <w:t xml:space="preserve">, en este caso, la </w:t>
      </w:r>
      <w:r>
        <w:rPr>
          <w:i/>
          <w:iCs/>
        </w:rPr>
        <w:t>o</w:t>
      </w:r>
      <w:r>
        <w:t xml:space="preserve"> puede tender a sonar como una </w:t>
      </w:r>
      <w:hyperlink r:id="rId146" w:tooltip="Vocal quasicerrada quasiposterior (aún no redactado)" w:history="1">
        <w:r>
          <w:rPr>
            <w:rStyle w:val="Hipervnculo"/>
          </w:rPr>
          <w:t xml:space="preserve">vocal </w:t>
        </w:r>
        <w:proofErr w:type="spellStart"/>
        <w:r>
          <w:rPr>
            <w:rStyle w:val="Hipervnculo"/>
          </w:rPr>
          <w:t>quasicerrada</w:t>
        </w:r>
        <w:proofErr w:type="spellEnd"/>
        <w:r>
          <w:rPr>
            <w:rStyle w:val="Hipervnculo"/>
          </w:rPr>
          <w:t xml:space="preserve"> </w:t>
        </w:r>
        <w:proofErr w:type="spellStart"/>
        <w:r>
          <w:rPr>
            <w:rStyle w:val="Hipervnculo"/>
          </w:rPr>
          <w:t>quasiposterior</w:t>
        </w:r>
        <w:proofErr w:type="spellEnd"/>
      </w:hyperlink>
      <w:r>
        <w:t xml:space="preserve"> (</w:t>
      </w:r>
      <w:r>
        <w:rPr>
          <w:rStyle w:val="ipa"/>
        </w:rPr>
        <w:t>[ʊ]</w:t>
      </w:r>
      <w:r>
        <w:t xml:space="preserve">): </w:t>
      </w:r>
      <w:r>
        <w:rPr>
          <w:rStyle w:val="ipa"/>
        </w:rPr>
        <w:t>[</w:t>
      </w:r>
      <w:proofErr w:type="spellStart"/>
      <w:r>
        <w:rPr>
          <w:rStyle w:val="ipa"/>
        </w:rPr>
        <w:t>oʊ</w:t>
      </w:r>
      <w:proofErr w:type="spellEnd"/>
      <w:r>
        <w:rPr>
          <w:rStyle w:val="ipa"/>
        </w:rPr>
        <w:t>]</w:t>
      </w:r>
      <w:r>
        <w:t>.</w:t>
      </w:r>
    </w:p>
    <w:p w:rsidR="004E7E54" w:rsidRDefault="004E7E54" w:rsidP="004E7E54">
      <w:pPr>
        <w:widowControl/>
        <w:numPr>
          <w:ilvl w:val="0"/>
          <w:numId w:val="8"/>
        </w:numPr>
        <w:autoSpaceDE/>
        <w:autoSpaceDN/>
        <w:adjustRightInd/>
        <w:spacing w:before="100" w:beforeAutospacing="1" w:after="100" w:afterAutospacing="1"/>
      </w:pPr>
      <w:proofErr w:type="spellStart"/>
      <w:r>
        <w:rPr>
          <w:b/>
          <w:bCs/>
        </w:rPr>
        <w:t>au</w:t>
      </w:r>
      <w:proofErr w:type="spellEnd"/>
      <w:r>
        <w:t xml:space="preserve">, en este caso la </w:t>
      </w:r>
      <w:r>
        <w:rPr>
          <w:i/>
          <w:iCs/>
        </w:rPr>
        <w:t>u</w:t>
      </w:r>
      <w:r>
        <w:t xml:space="preserve"> se convierte en una semiconsonante </w:t>
      </w:r>
      <w:r>
        <w:rPr>
          <w:rStyle w:val="ipa"/>
        </w:rPr>
        <w:t>[w]</w:t>
      </w:r>
      <w:r>
        <w:t xml:space="preserve">: </w:t>
      </w:r>
      <w:r>
        <w:rPr>
          <w:rStyle w:val="ipa"/>
        </w:rPr>
        <w:t>[</w:t>
      </w:r>
      <w:proofErr w:type="spellStart"/>
      <w:r>
        <w:rPr>
          <w:rStyle w:val="ipa"/>
        </w:rPr>
        <w:t>aw</w:t>
      </w:r>
      <w:proofErr w:type="spellEnd"/>
      <w:r>
        <w:rPr>
          <w:rStyle w:val="ipa"/>
        </w:rPr>
        <w:t>]</w:t>
      </w:r>
      <w:r>
        <w:t>.</w:t>
      </w:r>
    </w:p>
    <w:p w:rsidR="004E7E54" w:rsidRDefault="004E7E54" w:rsidP="004E7E54">
      <w:pPr>
        <w:pStyle w:val="Ttulo4"/>
      </w:pPr>
      <w:r>
        <w:rPr>
          <w:rStyle w:val="mw-headline"/>
        </w:rPr>
        <w:t>Acentuación</w:t>
      </w:r>
    </w:p>
    <w:p w:rsidR="004E7E54" w:rsidRDefault="004E7E54" w:rsidP="004E7E54">
      <w:pPr>
        <w:pStyle w:val="NormalWeb"/>
      </w:pPr>
      <w:r>
        <w:t>La tonicidad vocálica en el tahitiano presenta por su parte una complejidad algo mayor. Puede haber más de una vocal con acento tónico dentro de una palabra. La acentuación de las palabras se rige por las normas y variantes siguientes:</w:t>
      </w:r>
    </w:p>
    <w:p w:rsidR="004E7E54" w:rsidRDefault="004E7E54" w:rsidP="004E7E54">
      <w:pPr>
        <w:widowControl/>
        <w:numPr>
          <w:ilvl w:val="0"/>
          <w:numId w:val="9"/>
        </w:numPr>
        <w:autoSpaceDE/>
        <w:autoSpaceDN/>
        <w:adjustRightInd/>
        <w:spacing w:before="100" w:beforeAutospacing="1" w:after="100" w:afterAutospacing="1"/>
      </w:pPr>
      <w:r>
        <w:t xml:space="preserve">Todas las vocales largas siempre se acentúan: </w:t>
      </w:r>
      <w:r>
        <w:rPr>
          <w:rStyle w:val="ipa"/>
        </w:rPr>
        <w:t>[ˈ</w:t>
      </w:r>
      <w:proofErr w:type="spellStart"/>
      <w:r>
        <w:rPr>
          <w:rStyle w:val="ipa"/>
        </w:rPr>
        <w:t>ta</w:t>
      </w:r>
      <w:proofErr w:type="spellEnd"/>
      <w:r>
        <w:rPr>
          <w:rStyle w:val="ipa"/>
        </w:rPr>
        <w:t>ːˈniːˈniːˈ</w:t>
      </w:r>
      <w:proofErr w:type="spellStart"/>
      <w:r>
        <w:rPr>
          <w:rStyle w:val="ipa"/>
        </w:rPr>
        <w:t>to</w:t>
      </w:r>
      <w:proofErr w:type="spellEnd"/>
      <w:r>
        <w:rPr>
          <w:rStyle w:val="ipa"/>
        </w:rPr>
        <w:t>ː]</w:t>
      </w:r>
      <w:r>
        <w:t xml:space="preserve"> (</w:t>
      </w:r>
      <w:proofErr w:type="spellStart"/>
      <w:r>
        <w:rPr>
          <w:i/>
          <w:iCs/>
        </w:rPr>
        <w:t>tānīnītō</w:t>
      </w:r>
      <w:proofErr w:type="spellEnd"/>
      <w:r>
        <w:t>, "darle vueltas a a</w:t>
      </w:r>
      <w:r>
        <w:t>l</w:t>
      </w:r>
      <w:r>
        <w:t>go").</w:t>
      </w:r>
    </w:p>
    <w:p w:rsidR="004E7E54" w:rsidRDefault="004E7E54" w:rsidP="004E7E54">
      <w:pPr>
        <w:widowControl/>
        <w:numPr>
          <w:ilvl w:val="0"/>
          <w:numId w:val="9"/>
        </w:numPr>
        <w:autoSpaceDE/>
        <w:autoSpaceDN/>
        <w:adjustRightInd/>
        <w:spacing w:before="100" w:beforeAutospacing="1" w:after="100" w:afterAutospacing="1"/>
      </w:pPr>
      <w:r>
        <w:t>En las palabras donde hay de dos a tres sílabas con dos o tres vocales breves, o una br</w:t>
      </w:r>
      <w:r>
        <w:t>e</w:t>
      </w:r>
      <w:r>
        <w:t xml:space="preserve">ve y una larga, todas las vocales se acentúan, salvo la final si es breve: </w:t>
      </w:r>
      <w:r>
        <w:rPr>
          <w:rStyle w:val="ipa"/>
        </w:rPr>
        <w:t>[ˈ</w:t>
      </w:r>
      <w:proofErr w:type="spellStart"/>
      <w:r>
        <w:rPr>
          <w:rStyle w:val="ipa"/>
        </w:rPr>
        <w:t>teɾe</w:t>
      </w:r>
      <w:proofErr w:type="spellEnd"/>
      <w:r>
        <w:rPr>
          <w:rStyle w:val="ipa"/>
        </w:rPr>
        <w:t>]</w:t>
      </w:r>
      <w:r>
        <w:t xml:space="preserve"> (</w:t>
      </w:r>
      <w:proofErr w:type="spellStart"/>
      <w:r>
        <w:rPr>
          <w:i/>
          <w:iCs/>
        </w:rPr>
        <w:t>tere</w:t>
      </w:r>
      <w:proofErr w:type="spellEnd"/>
      <w:r>
        <w:t>, "viaj</w:t>
      </w:r>
      <w:r>
        <w:t>e</w:t>
      </w:r>
      <w:r>
        <w:t xml:space="preserve">ro"); </w:t>
      </w:r>
      <w:r>
        <w:rPr>
          <w:rStyle w:val="ipa"/>
        </w:rPr>
        <w:t>[ˈ</w:t>
      </w:r>
      <w:proofErr w:type="spellStart"/>
      <w:r>
        <w:rPr>
          <w:rStyle w:val="ipa"/>
        </w:rPr>
        <w:t>teˈra</w:t>
      </w:r>
      <w:proofErr w:type="spellEnd"/>
      <w:r>
        <w:rPr>
          <w:rStyle w:val="ipa"/>
        </w:rPr>
        <w:t>ː]</w:t>
      </w:r>
      <w:r>
        <w:t xml:space="preserve"> (</w:t>
      </w:r>
      <w:proofErr w:type="spellStart"/>
      <w:r>
        <w:rPr>
          <w:i/>
          <w:iCs/>
        </w:rPr>
        <w:t>teɾā</w:t>
      </w:r>
      <w:proofErr w:type="spellEnd"/>
      <w:r>
        <w:t xml:space="preserve">, "esto"); </w:t>
      </w:r>
      <w:r>
        <w:rPr>
          <w:rStyle w:val="ipa"/>
        </w:rPr>
        <w:t>[ˈ</w:t>
      </w:r>
      <w:proofErr w:type="spellStart"/>
      <w:r>
        <w:rPr>
          <w:rStyle w:val="ipa"/>
        </w:rPr>
        <w:t>mati</w:t>
      </w:r>
      <w:proofErr w:type="spellEnd"/>
      <w:r>
        <w:rPr>
          <w:rStyle w:val="ipa"/>
        </w:rPr>
        <w:t>]</w:t>
      </w:r>
      <w:r>
        <w:t xml:space="preserve"> (</w:t>
      </w:r>
      <w:proofErr w:type="spellStart"/>
      <w:r>
        <w:rPr>
          <w:i/>
          <w:iCs/>
        </w:rPr>
        <w:t>mati</w:t>
      </w:r>
      <w:proofErr w:type="spellEnd"/>
      <w:r>
        <w:t xml:space="preserve">, especie de árbol); </w:t>
      </w:r>
      <w:r>
        <w:rPr>
          <w:rStyle w:val="ipa"/>
        </w:rPr>
        <w:t>[ˈ</w:t>
      </w:r>
      <w:proofErr w:type="spellStart"/>
      <w:r>
        <w:rPr>
          <w:rStyle w:val="ipa"/>
        </w:rPr>
        <w:t>maːti</w:t>
      </w:r>
      <w:proofErr w:type="spellEnd"/>
      <w:r>
        <w:rPr>
          <w:rStyle w:val="ipa"/>
        </w:rPr>
        <w:t>]</w:t>
      </w:r>
      <w:r>
        <w:t xml:space="preserve"> (</w:t>
      </w:r>
      <w:proofErr w:type="spellStart"/>
      <w:r>
        <w:rPr>
          <w:i/>
          <w:iCs/>
        </w:rPr>
        <w:t>māti</w:t>
      </w:r>
      <w:proofErr w:type="spellEnd"/>
      <w:r>
        <w:t xml:space="preserve">, lámpara); </w:t>
      </w:r>
      <w:r>
        <w:rPr>
          <w:rStyle w:val="ipa"/>
        </w:rPr>
        <w:t>[ˈ</w:t>
      </w:r>
      <w:proofErr w:type="spellStart"/>
      <w:r>
        <w:rPr>
          <w:rStyle w:val="ipa"/>
        </w:rPr>
        <w:t>ʔoˈhipa</w:t>
      </w:r>
      <w:proofErr w:type="spellEnd"/>
      <w:r>
        <w:rPr>
          <w:rStyle w:val="ipa"/>
        </w:rPr>
        <w:t>]</w:t>
      </w:r>
      <w:r>
        <w:t xml:space="preserve"> (</w:t>
      </w:r>
      <w:r>
        <w:rPr>
          <w:i/>
          <w:iCs/>
        </w:rPr>
        <w:t>’</w:t>
      </w:r>
      <w:proofErr w:type="spellStart"/>
      <w:r>
        <w:rPr>
          <w:i/>
          <w:iCs/>
        </w:rPr>
        <w:t>ohipa</w:t>
      </w:r>
      <w:proofErr w:type="spellEnd"/>
      <w:r>
        <w:t xml:space="preserve">, trabajo); </w:t>
      </w:r>
      <w:r>
        <w:rPr>
          <w:rStyle w:val="ipa"/>
        </w:rPr>
        <w:t>[ˈ</w:t>
      </w:r>
      <w:proofErr w:type="spellStart"/>
      <w:r>
        <w:rPr>
          <w:rStyle w:val="ipa"/>
        </w:rPr>
        <w:t>maˈɾeva</w:t>
      </w:r>
      <w:proofErr w:type="spellEnd"/>
      <w:r>
        <w:rPr>
          <w:rStyle w:val="ipa"/>
        </w:rPr>
        <w:t>]</w:t>
      </w:r>
      <w:r>
        <w:t xml:space="preserve"> (</w:t>
      </w:r>
      <w:proofErr w:type="spellStart"/>
      <w:r>
        <w:rPr>
          <w:i/>
          <w:iCs/>
        </w:rPr>
        <w:t>mareva</w:t>
      </w:r>
      <w:proofErr w:type="spellEnd"/>
      <w:r>
        <w:t xml:space="preserve">, "pasar rápidamente"). </w:t>
      </w:r>
    </w:p>
    <w:p w:rsidR="004E7E54" w:rsidRDefault="004E7E54" w:rsidP="004E7E54">
      <w:pPr>
        <w:widowControl/>
        <w:numPr>
          <w:ilvl w:val="1"/>
          <w:numId w:val="9"/>
        </w:numPr>
        <w:autoSpaceDE/>
        <w:autoSpaceDN/>
        <w:adjustRightInd/>
        <w:spacing w:before="100" w:beforeAutospacing="1" w:after="100" w:afterAutospacing="1"/>
      </w:pPr>
      <w:r>
        <w:t xml:space="preserve">La presencia de las </w:t>
      </w:r>
      <w:proofErr w:type="spellStart"/>
      <w:r>
        <w:t>glotales</w:t>
      </w:r>
      <w:proofErr w:type="spellEnd"/>
      <w:r>
        <w:t xml:space="preserve"> </w:t>
      </w:r>
      <w:r>
        <w:rPr>
          <w:rStyle w:val="ipa"/>
        </w:rPr>
        <w:t>[h]</w:t>
      </w:r>
      <w:r>
        <w:t xml:space="preserve"> o </w:t>
      </w:r>
      <w:r>
        <w:rPr>
          <w:rStyle w:val="ipa"/>
        </w:rPr>
        <w:t>[ʔ]</w:t>
      </w:r>
      <w:r>
        <w:t xml:space="preserve"> puede hacer que el acento cambie. Si una </w:t>
      </w:r>
      <w:proofErr w:type="spellStart"/>
      <w:r>
        <w:t>gl</w:t>
      </w:r>
      <w:r>
        <w:t>o</w:t>
      </w:r>
      <w:r>
        <w:t>tal</w:t>
      </w:r>
      <w:proofErr w:type="spellEnd"/>
      <w:r>
        <w:t xml:space="preserve"> se encuentra entre dos vocales breves, el acento recaerá sobre la última vocal; en cambio, si la primera vocal es larga, el acento no recaerá en la última vocal: </w:t>
      </w:r>
      <w:r>
        <w:rPr>
          <w:rStyle w:val="ipa"/>
        </w:rPr>
        <w:t>[</w:t>
      </w:r>
      <w:proofErr w:type="spellStart"/>
      <w:r>
        <w:rPr>
          <w:rStyle w:val="ipa"/>
        </w:rPr>
        <w:t>maˈha</w:t>
      </w:r>
      <w:proofErr w:type="spellEnd"/>
      <w:r>
        <w:rPr>
          <w:rStyle w:val="ipa"/>
        </w:rPr>
        <w:t>]</w:t>
      </w:r>
      <w:r>
        <w:t xml:space="preserve"> (</w:t>
      </w:r>
      <w:proofErr w:type="spellStart"/>
      <w:r>
        <w:rPr>
          <w:i/>
          <w:iCs/>
        </w:rPr>
        <w:t>maha</w:t>
      </w:r>
      <w:proofErr w:type="spellEnd"/>
      <w:r>
        <w:t xml:space="preserve">, "cuatro"); </w:t>
      </w:r>
      <w:r>
        <w:rPr>
          <w:rStyle w:val="ipa"/>
        </w:rPr>
        <w:t>[ˈ</w:t>
      </w:r>
      <w:proofErr w:type="spellStart"/>
      <w:r>
        <w:rPr>
          <w:rStyle w:val="ipa"/>
        </w:rPr>
        <w:t>maːha</w:t>
      </w:r>
      <w:proofErr w:type="spellEnd"/>
      <w:r>
        <w:rPr>
          <w:rStyle w:val="ipa"/>
        </w:rPr>
        <w:t>]</w:t>
      </w:r>
      <w:r>
        <w:t xml:space="preserve"> (</w:t>
      </w:r>
      <w:proofErr w:type="spellStart"/>
      <w:r>
        <w:rPr>
          <w:i/>
          <w:iCs/>
        </w:rPr>
        <w:t>māha</w:t>
      </w:r>
      <w:proofErr w:type="spellEnd"/>
      <w:r>
        <w:t>, "apesadumbrado").</w:t>
      </w:r>
    </w:p>
    <w:p w:rsidR="004E7E54" w:rsidRDefault="004E7E54" w:rsidP="004E7E54">
      <w:pPr>
        <w:widowControl/>
        <w:numPr>
          <w:ilvl w:val="0"/>
          <w:numId w:val="9"/>
        </w:numPr>
        <w:autoSpaceDE/>
        <w:autoSpaceDN/>
        <w:adjustRightInd/>
        <w:spacing w:before="100" w:beforeAutospacing="1" w:after="100" w:afterAutospacing="1"/>
      </w:pPr>
      <w:r>
        <w:t>En las palabras de más de dos o tres sílabas, la acentuación se aplica a partir de las dive</w:t>
      </w:r>
      <w:r>
        <w:t>r</w:t>
      </w:r>
      <w:r>
        <w:t xml:space="preserve">sas unidades que componen la palabra, de dos o tres sílabas. La </w:t>
      </w:r>
      <w:proofErr w:type="spellStart"/>
      <w:r>
        <w:t>acentución</w:t>
      </w:r>
      <w:proofErr w:type="spellEnd"/>
      <w:r>
        <w:t xml:space="preserve">, por tanto, se hace de manera independiente en estos grupos: </w:t>
      </w:r>
      <w:r>
        <w:rPr>
          <w:rStyle w:val="ipa"/>
        </w:rPr>
        <w:t>[ˈ</w:t>
      </w:r>
      <w:proofErr w:type="spellStart"/>
      <w:r>
        <w:rPr>
          <w:rStyle w:val="ipa"/>
        </w:rPr>
        <w:t>maniˈhini</w:t>
      </w:r>
      <w:proofErr w:type="spellEnd"/>
      <w:r>
        <w:rPr>
          <w:rStyle w:val="ipa"/>
        </w:rPr>
        <w:t>]</w:t>
      </w:r>
      <w:r>
        <w:t xml:space="preserve"> (</w:t>
      </w:r>
      <w:proofErr w:type="spellStart"/>
      <w:r>
        <w:rPr>
          <w:i/>
          <w:iCs/>
        </w:rPr>
        <w:t>manihini</w:t>
      </w:r>
      <w:proofErr w:type="spellEnd"/>
      <w:r>
        <w:t xml:space="preserve">, "invitado"); </w:t>
      </w:r>
      <w:r>
        <w:rPr>
          <w:rStyle w:val="ipa"/>
        </w:rPr>
        <w:t>[ˈ</w:t>
      </w:r>
      <w:proofErr w:type="spellStart"/>
      <w:r>
        <w:rPr>
          <w:rStyle w:val="ipa"/>
        </w:rPr>
        <w:t>ma</w:t>
      </w:r>
      <w:proofErr w:type="spellEnd"/>
      <w:r>
        <w:rPr>
          <w:rStyle w:val="ipa"/>
        </w:rPr>
        <w:t>ːˈ</w:t>
      </w:r>
      <w:proofErr w:type="spellStart"/>
      <w:r>
        <w:rPr>
          <w:rStyle w:val="ipa"/>
        </w:rPr>
        <w:t>ta</w:t>
      </w:r>
      <w:proofErr w:type="spellEnd"/>
      <w:r>
        <w:rPr>
          <w:rStyle w:val="ipa"/>
        </w:rPr>
        <w:t>ːˈ</w:t>
      </w:r>
      <w:proofErr w:type="spellStart"/>
      <w:r>
        <w:rPr>
          <w:rStyle w:val="ipa"/>
        </w:rPr>
        <w:t>ʔaɾe</w:t>
      </w:r>
      <w:proofErr w:type="spellEnd"/>
      <w:r>
        <w:rPr>
          <w:rStyle w:val="ipa"/>
        </w:rPr>
        <w:t>]</w:t>
      </w:r>
      <w:r>
        <w:t xml:space="preserve"> (</w:t>
      </w:r>
      <w:proofErr w:type="spellStart"/>
      <w:r>
        <w:rPr>
          <w:i/>
          <w:iCs/>
        </w:rPr>
        <w:t>mātā’are</w:t>
      </w:r>
      <w:proofErr w:type="spellEnd"/>
      <w:r>
        <w:t xml:space="preserve">, ola); </w:t>
      </w:r>
      <w:r>
        <w:rPr>
          <w:rStyle w:val="ipa"/>
        </w:rPr>
        <w:t>[ˈ</w:t>
      </w:r>
      <w:proofErr w:type="spellStart"/>
      <w:r>
        <w:rPr>
          <w:rStyle w:val="ipa"/>
        </w:rPr>
        <w:t>haʔaˈpuɾaɾaˈɾaʔa</w:t>
      </w:r>
      <w:proofErr w:type="spellEnd"/>
      <w:r>
        <w:rPr>
          <w:rStyle w:val="ipa"/>
        </w:rPr>
        <w:t>]</w:t>
      </w:r>
      <w:r>
        <w:t xml:space="preserve"> (</w:t>
      </w:r>
      <w:proofErr w:type="spellStart"/>
      <w:r>
        <w:rPr>
          <w:i/>
          <w:iCs/>
        </w:rPr>
        <w:t>ha’apurarara’a</w:t>
      </w:r>
      <w:proofErr w:type="spellEnd"/>
      <w:r>
        <w:t>, "dispersión").</w:t>
      </w:r>
      <w:r>
        <w:br/>
        <w:t xml:space="preserve">En las palabras formadas por reduplicación, este fenómeno es muy claro: </w:t>
      </w:r>
      <w:r>
        <w:rPr>
          <w:rStyle w:val="ipa"/>
        </w:rPr>
        <w:t>[ˈ</w:t>
      </w:r>
      <w:proofErr w:type="spellStart"/>
      <w:r>
        <w:rPr>
          <w:rStyle w:val="ipa"/>
        </w:rPr>
        <w:t>taraˈtara</w:t>
      </w:r>
      <w:proofErr w:type="spellEnd"/>
      <w:r>
        <w:rPr>
          <w:rStyle w:val="ipa"/>
        </w:rPr>
        <w:t>]</w:t>
      </w:r>
      <w:r>
        <w:t xml:space="preserve"> (</w:t>
      </w:r>
      <w:proofErr w:type="spellStart"/>
      <w:r>
        <w:rPr>
          <w:i/>
          <w:iCs/>
        </w:rPr>
        <w:t>tar</w:t>
      </w:r>
      <w:r>
        <w:rPr>
          <w:i/>
          <w:iCs/>
        </w:rPr>
        <w:t>a</w:t>
      </w:r>
      <w:r>
        <w:rPr>
          <w:i/>
          <w:iCs/>
        </w:rPr>
        <w:t>tara</w:t>
      </w:r>
      <w:proofErr w:type="spellEnd"/>
      <w:r>
        <w:t xml:space="preserve">, "espinoso"); </w:t>
      </w:r>
      <w:r>
        <w:rPr>
          <w:rStyle w:val="ipa"/>
        </w:rPr>
        <w:t>[ˈ</w:t>
      </w:r>
      <w:proofErr w:type="spellStart"/>
      <w:r>
        <w:rPr>
          <w:rStyle w:val="ipa"/>
        </w:rPr>
        <w:t>ta</w:t>
      </w:r>
      <w:proofErr w:type="spellEnd"/>
      <w:r>
        <w:rPr>
          <w:rStyle w:val="ipa"/>
        </w:rPr>
        <w:t>ːˈ</w:t>
      </w:r>
      <w:proofErr w:type="spellStart"/>
      <w:r>
        <w:rPr>
          <w:rStyle w:val="ipa"/>
        </w:rPr>
        <w:t>hanaˈhana</w:t>
      </w:r>
      <w:proofErr w:type="spellEnd"/>
      <w:r>
        <w:rPr>
          <w:rStyle w:val="ipa"/>
        </w:rPr>
        <w:t>]</w:t>
      </w:r>
      <w:r>
        <w:t xml:space="preserve"> (</w:t>
      </w:r>
      <w:proofErr w:type="spellStart"/>
      <w:r>
        <w:rPr>
          <w:i/>
          <w:iCs/>
        </w:rPr>
        <w:t>tāhanahana</w:t>
      </w:r>
      <w:proofErr w:type="spellEnd"/>
      <w:r>
        <w:t>, "recalentar").</w:t>
      </w:r>
    </w:p>
    <w:p w:rsidR="004E7E54" w:rsidRDefault="004E7E54" w:rsidP="004E7E54">
      <w:pPr>
        <w:widowControl/>
        <w:numPr>
          <w:ilvl w:val="0"/>
          <w:numId w:val="9"/>
        </w:numPr>
        <w:autoSpaceDE/>
        <w:autoSpaceDN/>
        <w:adjustRightInd/>
        <w:spacing w:before="100" w:beforeAutospacing="1" w:after="100" w:afterAutospacing="1"/>
      </w:pPr>
      <w:r>
        <w:t xml:space="preserve">En las palabras de origen extranjero de más de dos o tres sílabas, esta última norma no se sigue y se acentúan todas las vocales, menos la última: </w:t>
      </w:r>
      <w:r>
        <w:rPr>
          <w:rStyle w:val="ipa"/>
        </w:rPr>
        <w:t>[ˈ</w:t>
      </w:r>
      <w:proofErr w:type="spellStart"/>
      <w:r>
        <w:rPr>
          <w:rStyle w:val="ipa"/>
        </w:rPr>
        <w:t>poˈɾoˈteˈtani</w:t>
      </w:r>
      <w:proofErr w:type="spellEnd"/>
      <w:r>
        <w:rPr>
          <w:rStyle w:val="ipa"/>
        </w:rPr>
        <w:t>]</w:t>
      </w:r>
      <w:r>
        <w:t xml:space="preserve"> (</w:t>
      </w:r>
      <w:proofErr w:type="spellStart"/>
      <w:r>
        <w:rPr>
          <w:i/>
          <w:iCs/>
        </w:rPr>
        <w:t>porotetani</w:t>
      </w:r>
      <w:proofErr w:type="spellEnd"/>
      <w:r>
        <w:t>, "prote</w:t>
      </w:r>
      <w:r>
        <w:t>s</w:t>
      </w:r>
      <w:r>
        <w:t xml:space="preserve">tante"); </w:t>
      </w:r>
      <w:r>
        <w:rPr>
          <w:rStyle w:val="ipa"/>
        </w:rPr>
        <w:t>[ˈ</w:t>
      </w:r>
      <w:proofErr w:type="spellStart"/>
      <w:r>
        <w:rPr>
          <w:rStyle w:val="ipa"/>
        </w:rPr>
        <w:t>peˈɾeˈtiˈteni</w:t>
      </w:r>
      <w:proofErr w:type="spellEnd"/>
      <w:r>
        <w:rPr>
          <w:rStyle w:val="ipa"/>
        </w:rPr>
        <w:t>]</w:t>
      </w:r>
      <w:r>
        <w:t xml:space="preserve"> (</w:t>
      </w:r>
      <w:proofErr w:type="spellStart"/>
      <w:r>
        <w:rPr>
          <w:i/>
          <w:iCs/>
        </w:rPr>
        <w:t>peretiteni</w:t>
      </w:r>
      <w:proofErr w:type="spellEnd"/>
      <w:r>
        <w:t>, presidente).</w:t>
      </w:r>
    </w:p>
    <w:p w:rsidR="004E7E54" w:rsidRDefault="004E7E54" w:rsidP="004E7E54">
      <w:pPr>
        <w:widowControl/>
        <w:numPr>
          <w:ilvl w:val="0"/>
          <w:numId w:val="9"/>
        </w:numPr>
        <w:autoSpaceDE/>
        <w:autoSpaceDN/>
        <w:adjustRightInd/>
        <w:spacing w:before="100" w:beforeAutospacing="1" w:after="100" w:afterAutospacing="1"/>
      </w:pPr>
      <w:r>
        <w:t>La norma anterior puede servir para cualquier palabra donde la tonicidad vocálica no sea clara.</w:t>
      </w:r>
    </w:p>
    <w:p w:rsidR="004E7E54" w:rsidRDefault="004E7E54" w:rsidP="004E7E54">
      <w:pPr>
        <w:pStyle w:val="Ttulo4"/>
      </w:pPr>
      <w:r>
        <w:rPr>
          <w:rStyle w:val="mw-headline"/>
        </w:rPr>
        <w:t xml:space="preserve">Adaptación de </w:t>
      </w:r>
      <w:hyperlink r:id="rId147" w:tooltip="Barbarismo" w:history="1">
        <w:r>
          <w:rPr>
            <w:rStyle w:val="Hipervnculo"/>
          </w:rPr>
          <w:t>barbarismos</w:t>
        </w:r>
      </w:hyperlink>
    </w:p>
    <w:p w:rsidR="004E7E54" w:rsidRDefault="004E7E54" w:rsidP="004E7E54">
      <w:pPr>
        <w:pStyle w:val="NormalWeb"/>
      </w:pPr>
      <w:r>
        <w:t>Para la adaptación a la ortografía y a la pronunciación tahitianas de las palabras extranjeras que han ido ll</w:t>
      </w:r>
      <w:r>
        <w:t>e</w:t>
      </w:r>
      <w:r>
        <w:t xml:space="preserve">gando a la Polinesia Francesa de la mano principalmente de franceses e ingleses, y han sido asimiladas, hay ciertas convenciones (las cuales pueden seguirse o no, dependiendo del contexto en que se haya producido la llegada de la palabra e incluso de su significado) para la </w:t>
      </w:r>
      <w:proofErr w:type="spellStart"/>
      <w:r>
        <w:rPr>
          <w:i/>
          <w:iCs/>
        </w:rPr>
        <w:t>tahitianización</w:t>
      </w:r>
      <w:proofErr w:type="spellEnd"/>
      <w:r>
        <w:t xml:space="preserve"> de los </w:t>
      </w:r>
      <w:hyperlink r:id="rId148" w:tooltip="Préstamo lingüístico" w:history="1">
        <w:r>
          <w:rPr>
            <w:rStyle w:val="Hipervnculo"/>
          </w:rPr>
          <w:t>préstamos</w:t>
        </w:r>
      </w:hyperlink>
      <w:r>
        <w:t xml:space="preserve"> extranjeros. Las letras </w:t>
      </w:r>
      <w:r>
        <w:rPr>
          <w:i/>
          <w:iCs/>
        </w:rPr>
        <w:t>c</w:t>
      </w:r>
      <w:r>
        <w:t xml:space="preserve">, </w:t>
      </w:r>
      <w:r>
        <w:rPr>
          <w:i/>
          <w:iCs/>
        </w:rPr>
        <w:t>d</w:t>
      </w:r>
      <w:r>
        <w:t xml:space="preserve">, </w:t>
      </w:r>
      <w:r>
        <w:rPr>
          <w:i/>
          <w:iCs/>
        </w:rPr>
        <w:t>g</w:t>
      </w:r>
      <w:r>
        <w:t xml:space="preserve">, </w:t>
      </w:r>
      <w:r>
        <w:rPr>
          <w:i/>
          <w:iCs/>
        </w:rPr>
        <w:t>k</w:t>
      </w:r>
      <w:r>
        <w:t xml:space="preserve">, </w:t>
      </w:r>
      <w:r>
        <w:rPr>
          <w:i/>
          <w:iCs/>
        </w:rPr>
        <w:t>s</w:t>
      </w:r>
      <w:r>
        <w:t xml:space="preserve">, </w:t>
      </w:r>
      <w:r>
        <w:rPr>
          <w:i/>
          <w:iCs/>
        </w:rPr>
        <w:t>x</w:t>
      </w:r>
      <w:r>
        <w:t xml:space="preserve"> y </w:t>
      </w:r>
      <w:r>
        <w:rPr>
          <w:i/>
          <w:iCs/>
        </w:rPr>
        <w:t>z</w:t>
      </w:r>
      <w:r>
        <w:t xml:space="preserve"> con sus sonidos correspondientes asociados a cada lengua, se convierten en </w:t>
      </w:r>
      <w:r>
        <w:rPr>
          <w:rStyle w:val="ipa"/>
        </w:rPr>
        <w:t>[t]</w:t>
      </w:r>
      <w:r>
        <w:t xml:space="preserve"> (</w:t>
      </w:r>
      <w:r>
        <w:rPr>
          <w:i/>
          <w:iCs/>
        </w:rPr>
        <w:t>t</w:t>
      </w:r>
      <w:r>
        <w:t xml:space="preserve">); la lateral </w:t>
      </w:r>
      <w:r>
        <w:rPr>
          <w:rStyle w:val="ipa"/>
        </w:rPr>
        <w:t>[l]</w:t>
      </w:r>
      <w:r>
        <w:t xml:space="preserve"> y similares se convierten en la vibrante </w:t>
      </w:r>
      <w:r>
        <w:rPr>
          <w:rStyle w:val="ipa"/>
        </w:rPr>
        <w:t>[ɾ]</w:t>
      </w:r>
      <w:r>
        <w:t xml:space="preserve">; las letras </w:t>
      </w:r>
      <w:r>
        <w:rPr>
          <w:i/>
          <w:iCs/>
        </w:rPr>
        <w:t>j</w:t>
      </w:r>
      <w:r>
        <w:t xml:space="preserve"> e </w:t>
      </w:r>
      <w:r>
        <w:rPr>
          <w:i/>
          <w:iCs/>
        </w:rPr>
        <w:t>y</w:t>
      </w:r>
      <w:r>
        <w:t xml:space="preserve"> (</w:t>
      </w:r>
      <w:r>
        <w:rPr>
          <w:rStyle w:val="ipa"/>
        </w:rPr>
        <w:t>[ʒ]</w:t>
      </w:r>
      <w:r>
        <w:t xml:space="preserve"> o </w:t>
      </w:r>
      <w:r>
        <w:rPr>
          <w:rStyle w:val="ipa"/>
        </w:rPr>
        <w:t>[j]</w:t>
      </w:r>
      <w:r>
        <w:t xml:space="preserve"> según las lenguas) pasa a ser una </w:t>
      </w:r>
      <w:r>
        <w:rPr>
          <w:i/>
          <w:iCs/>
        </w:rPr>
        <w:t>i</w:t>
      </w:r>
      <w:r>
        <w:t xml:space="preserve"> </w:t>
      </w:r>
      <w:r>
        <w:rPr>
          <w:rStyle w:val="ipa"/>
        </w:rPr>
        <w:t>[i]</w:t>
      </w:r>
      <w:r>
        <w:t xml:space="preserve">; y la </w:t>
      </w:r>
      <w:r>
        <w:rPr>
          <w:i/>
          <w:iCs/>
        </w:rPr>
        <w:t>b</w:t>
      </w:r>
      <w:r>
        <w:t xml:space="preserve"> (</w:t>
      </w:r>
      <w:r>
        <w:rPr>
          <w:rStyle w:val="ipa"/>
        </w:rPr>
        <w:t>[b]</w:t>
      </w:r>
      <w:r>
        <w:t xml:space="preserve"> y similares) se transforma en una </w:t>
      </w:r>
      <w:r>
        <w:rPr>
          <w:i/>
          <w:iCs/>
        </w:rPr>
        <w:t>p</w:t>
      </w:r>
      <w:r>
        <w:t xml:space="preserve"> (</w:t>
      </w:r>
      <w:r>
        <w:rPr>
          <w:rStyle w:val="ipa"/>
        </w:rPr>
        <w:t>[p]</w:t>
      </w:r>
      <w:r>
        <w:t xml:space="preserve">). Así, la palabra </w:t>
      </w:r>
      <w:r>
        <w:rPr>
          <w:i/>
          <w:iCs/>
        </w:rPr>
        <w:t>presidente</w:t>
      </w:r>
      <w:r>
        <w:t xml:space="preserve"> en tahitiano se ha convertido en </w:t>
      </w:r>
      <w:proofErr w:type="spellStart"/>
      <w:r>
        <w:rPr>
          <w:i/>
          <w:iCs/>
        </w:rPr>
        <w:t>peretiteni</w:t>
      </w:r>
      <w:proofErr w:type="spellEnd"/>
      <w:r>
        <w:t xml:space="preserve"> o </w:t>
      </w:r>
      <w:r>
        <w:rPr>
          <w:i/>
          <w:iCs/>
        </w:rPr>
        <w:t>Rusia</w:t>
      </w:r>
      <w:r>
        <w:t xml:space="preserve">, </w:t>
      </w:r>
      <w:proofErr w:type="spellStart"/>
      <w:r>
        <w:rPr>
          <w:i/>
          <w:iCs/>
        </w:rPr>
        <w:t>Rūtia</w:t>
      </w:r>
      <w:proofErr w:type="spellEnd"/>
      <w:r>
        <w:t>.</w:t>
      </w:r>
    </w:p>
    <w:p w:rsidR="004E7E54" w:rsidRDefault="004E7E54" w:rsidP="004E7E54">
      <w:pPr>
        <w:pStyle w:val="NormalWeb"/>
      </w:pPr>
      <w:r>
        <w:t>Pese a esto, en los últimos años, cada vez hay más palabras que se salen de estas convenciones de transcri</w:t>
      </w:r>
      <w:r>
        <w:t>p</w:t>
      </w:r>
      <w:r>
        <w:t>ción y que se pueden pronunciar con los fonemas originales, pese a no existir en el tahitiano. Históricame</w:t>
      </w:r>
      <w:r>
        <w:t>n</w:t>
      </w:r>
      <w:r>
        <w:t xml:space="preserve">te, ya se encuentran indicios de esta práctica en el inicio de la incorporación de otras palabras polinesias al tahitiano que conservaron fonemas originales que no existen en tahitiano, como puede ser el fonema </w:t>
      </w:r>
      <w:r>
        <w:rPr>
          <w:rStyle w:val="ipa"/>
        </w:rPr>
        <w:t>[k]</w:t>
      </w:r>
      <w:r>
        <w:t xml:space="preserve"> y el </w:t>
      </w:r>
      <w:r>
        <w:lastRenderedPageBreak/>
        <w:t xml:space="preserve">fonema </w:t>
      </w:r>
      <w:r>
        <w:rPr>
          <w:rStyle w:val="ipa"/>
        </w:rPr>
        <w:t>[ŋ]</w:t>
      </w:r>
      <w:r>
        <w:t xml:space="preserve"> del </w:t>
      </w:r>
      <w:hyperlink r:id="rId149" w:tooltip="Tongalés" w:history="1">
        <w:proofErr w:type="spellStart"/>
        <w:r>
          <w:rPr>
            <w:rStyle w:val="Hipervnculo"/>
          </w:rPr>
          <w:t>tongalés</w:t>
        </w:r>
        <w:proofErr w:type="spellEnd"/>
      </w:hyperlink>
      <w:r>
        <w:t xml:space="preserve">, el </w:t>
      </w:r>
      <w:hyperlink r:id="rId150" w:tooltip="Samoano" w:history="1">
        <w:r>
          <w:rPr>
            <w:rStyle w:val="Hipervnculo"/>
          </w:rPr>
          <w:t>samoano</w:t>
        </w:r>
      </w:hyperlink>
      <w:r>
        <w:t xml:space="preserve"> o el </w:t>
      </w:r>
      <w:hyperlink r:id="rId151" w:tooltip="Maorí" w:history="1">
        <w:r>
          <w:rPr>
            <w:rStyle w:val="Hipervnculo"/>
          </w:rPr>
          <w:t>maorí</w:t>
        </w:r>
      </w:hyperlink>
      <w:r>
        <w:t>.</w:t>
      </w:r>
    </w:p>
    <w:p w:rsidR="004E7E54" w:rsidRDefault="004E7E54" w:rsidP="004E7E54">
      <w:pPr>
        <w:pStyle w:val="Ttulo3"/>
      </w:pPr>
      <w:r>
        <w:rPr>
          <w:rStyle w:val="mw-headline"/>
        </w:rPr>
        <w:t>Morfología flexiva</w:t>
      </w:r>
    </w:p>
    <w:p w:rsidR="004E7E54" w:rsidRDefault="004E7E54" w:rsidP="004E7E54">
      <w:pPr>
        <w:pStyle w:val="NormalWeb"/>
      </w:pPr>
      <w:r>
        <w:t xml:space="preserve">La </w:t>
      </w:r>
      <w:hyperlink r:id="rId152" w:tooltip="Morfología flexiva (aún no redactado)" w:history="1">
        <w:r>
          <w:rPr>
            <w:rStyle w:val="Hipervnculo"/>
          </w:rPr>
          <w:t>morfología flexiva</w:t>
        </w:r>
      </w:hyperlink>
      <w:r>
        <w:t xml:space="preserve"> del tahitiano, en tanto que lengua </w:t>
      </w:r>
      <w:proofErr w:type="spellStart"/>
      <w:r>
        <w:t>austronesia</w:t>
      </w:r>
      <w:proofErr w:type="spellEnd"/>
      <w:r>
        <w:t>, se aleja bastante de los patrones aco</w:t>
      </w:r>
      <w:r>
        <w:t>s</w:t>
      </w:r>
      <w:r>
        <w:t>tumbrados en las lenguas románicas y para un hablante de estas lenguas, así como para los de otras del gr</w:t>
      </w:r>
      <w:r>
        <w:t>u</w:t>
      </w:r>
      <w:r>
        <w:t>po indoeuropeo, es dificultoso asimilar alguno de los conceptos presentes en esta lengua. Del mismo modo que la fonética y la ortografía tahitianas no presentan grandes complicaciones, la morfología nominal y ve</w:t>
      </w:r>
      <w:r>
        <w:t>r</w:t>
      </w:r>
      <w:r>
        <w:t>bal puede presentar algunas.</w:t>
      </w:r>
    </w:p>
    <w:p w:rsidR="004E7E54" w:rsidRDefault="004E7E54" w:rsidP="004E7E54">
      <w:pPr>
        <w:pStyle w:val="Ttulo4"/>
      </w:pPr>
      <w:r>
        <w:rPr>
          <w:rStyle w:val="mw-headline"/>
        </w:rPr>
        <w:t>Morfología nominal</w:t>
      </w:r>
    </w:p>
    <w:p w:rsidR="004E7E54" w:rsidRDefault="004E7E54" w:rsidP="004E7E54">
      <w:pPr>
        <w:pStyle w:val="Ttulo5"/>
      </w:pPr>
      <w:r>
        <w:rPr>
          <w:rStyle w:val="mw-headline"/>
        </w:rPr>
        <w:t>Género y número</w:t>
      </w:r>
    </w:p>
    <w:p w:rsidR="004E7E54" w:rsidRDefault="004E7E54" w:rsidP="004E7E54">
      <w:pPr>
        <w:pStyle w:val="NormalWeb"/>
      </w:pPr>
      <w:r>
        <w:t xml:space="preserve">Un rasgo relevantes del tahitiano es la falta de </w:t>
      </w:r>
      <w:hyperlink r:id="rId153" w:tooltip="Flexión (lingüística)" w:history="1">
        <w:r>
          <w:rPr>
            <w:rStyle w:val="Hipervnculo"/>
          </w:rPr>
          <w:t>flexión</w:t>
        </w:r>
      </w:hyperlink>
      <w:r>
        <w:t xml:space="preserve"> de número en los </w:t>
      </w:r>
      <w:hyperlink r:id="rId154" w:tooltip="Sustantivo" w:history="1">
        <w:r>
          <w:rPr>
            <w:rStyle w:val="Hipervnculo"/>
          </w:rPr>
          <w:t>sustantivos</w:t>
        </w:r>
      </w:hyperlink>
      <w:r>
        <w:t xml:space="preserve">, los </w:t>
      </w:r>
      <w:hyperlink r:id="rId155" w:tooltip="Adjetivo" w:history="1">
        <w:r>
          <w:rPr>
            <w:rStyle w:val="Hipervnculo"/>
          </w:rPr>
          <w:t>adjetivos</w:t>
        </w:r>
      </w:hyperlink>
      <w:r>
        <w:t xml:space="preserve"> y ciertos </w:t>
      </w:r>
      <w:hyperlink r:id="rId156" w:tooltip="Determinante (lingüística)" w:history="1">
        <w:r>
          <w:rPr>
            <w:rStyle w:val="Hipervnculo"/>
          </w:rPr>
          <w:t>determinantes</w:t>
        </w:r>
      </w:hyperlink>
      <w:r>
        <w:t xml:space="preserve">. El </w:t>
      </w:r>
      <w:hyperlink r:id="rId157" w:tooltip="Número" w:history="1">
        <w:r>
          <w:rPr>
            <w:rStyle w:val="Hipervnculo"/>
          </w:rPr>
          <w:t>número</w:t>
        </w:r>
      </w:hyperlink>
      <w:r>
        <w:t xml:space="preserve"> se indica a través de los </w:t>
      </w:r>
      <w:hyperlink r:id="rId158" w:tooltip="Artículo" w:history="1">
        <w:r>
          <w:rPr>
            <w:rStyle w:val="Hipervnculo"/>
          </w:rPr>
          <w:t>artículos</w:t>
        </w:r>
      </w:hyperlink>
      <w:r>
        <w:t xml:space="preserve">, tanto definidos como indefinidos: </w:t>
      </w:r>
      <w:r>
        <w:rPr>
          <w:i/>
          <w:iCs/>
        </w:rPr>
        <w:t xml:space="preserve">Te </w:t>
      </w:r>
      <w:proofErr w:type="spellStart"/>
      <w:r>
        <w:rPr>
          <w:i/>
          <w:iCs/>
        </w:rPr>
        <w:t>fenua</w:t>
      </w:r>
      <w:proofErr w:type="spellEnd"/>
      <w:r>
        <w:t xml:space="preserve"> ("el país"), </w:t>
      </w:r>
      <w:r>
        <w:rPr>
          <w:i/>
          <w:iCs/>
        </w:rPr>
        <w:t xml:space="preserve">te </w:t>
      </w:r>
      <w:proofErr w:type="spellStart"/>
      <w:r>
        <w:rPr>
          <w:i/>
          <w:iCs/>
        </w:rPr>
        <w:t>mau</w:t>
      </w:r>
      <w:proofErr w:type="spellEnd"/>
      <w:r>
        <w:rPr>
          <w:i/>
          <w:iCs/>
        </w:rPr>
        <w:t xml:space="preserve"> </w:t>
      </w:r>
      <w:proofErr w:type="spellStart"/>
      <w:r>
        <w:rPr>
          <w:i/>
          <w:iCs/>
        </w:rPr>
        <w:t>fenua</w:t>
      </w:r>
      <w:proofErr w:type="spellEnd"/>
      <w:r>
        <w:t xml:space="preserve"> ("los países"). En tahitiano existen tres gradaciones de número: singular, dual y plural, como en el </w:t>
      </w:r>
      <w:hyperlink r:id="rId159" w:tooltip="Idioma griego" w:history="1">
        <w:r>
          <w:rPr>
            <w:rStyle w:val="Hipervnculo"/>
          </w:rPr>
          <w:t>griego</w:t>
        </w:r>
      </w:hyperlink>
      <w:r>
        <w:t>. Hay que tener en cuenta que algunos determinantes no hacen esta distinción y solamente señalan en singular y el plural. Se dan las tres gradaciones de número sobre todo en los pronombres y en los artículos.</w:t>
      </w:r>
    </w:p>
    <w:p w:rsidR="004E7E54" w:rsidRDefault="004E7E54" w:rsidP="004E7E54">
      <w:pPr>
        <w:pStyle w:val="NormalWeb"/>
      </w:pPr>
      <w:r>
        <w:t xml:space="preserve">En cuanto al </w:t>
      </w:r>
      <w:hyperlink r:id="rId160" w:tooltip="Género gramatical" w:history="1">
        <w:r>
          <w:rPr>
            <w:rStyle w:val="Hipervnculo"/>
          </w:rPr>
          <w:t>gramatical</w:t>
        </w:r>
      </w:hyperlink>
      <w:r>
        <w:t>, este no se indica ni en el sustantivo, ni en los adjetivos ni en los determinantes que le puedan acompañar. En la práctica, el comportamiento de los sustantivos es como si tuvieran género neutro o único. Este hecho simplifica en gran manera el conocimiento que el hablante ha de tener sobre el género de los sustantivos que usa.</w:t>
      </w:r>
    </w:p>
    <w:p w:rsidR="004E7E54" w:rsidRDefault="004E7E54" w:rsidP="004E7E54">
      <w:pPr>
        <w:pStyle w:val="NormalWeb"/>
      </w:pPr>
      <w:r>
        <w:t xml:space="preserve">Por otra parte, es necesario recordar que una palabra en tahitiano, dependiendo de los </w:t>
      </w:r>
      <w:hyperlink r:id="rId161" w:tooltip="Afijo" w:history="1">
        <w:r>
          <w:rPr>
            <w:rStyle w:val="Hipervnculo"/>
          </w:rPr>
          <w:t>afijos</w:t>
        </w:r>
      </w:hyperlink>
      <w:r>
        <w:t xml:space="preserve"> o partículas que la formen puede ser un sustantivo, un adjetivo o un </w:t>
      </w:r>
      <w:hyperlink r:id="rId162" w:tooltip="Verbo" w:history="1">
        <w:r>
          <w:rPr>
            <w:rStyle w:val="Hipervnculo"/>
          </w:rPr>
          <w:t>verbo</w:t>
        </w:r>
      </w:hyperlink>
      <w:r>
        <w:t xml:space="preserve"> (cuyo caso particular veremos más adelante). En cuanto a la morfología nominal, el significado del nombre, su situación dentro de la frase y la presencia de los determinantes y adjetivos son quienes indican la naturaleza de esa palabra en tanto que sustantivo y núcleo del sintagma nominal.</w:t>
      </w:r>
    </w:p>
    <w:p w:rsidR="004E7E54" w:rsidRDefault="004E7E54" w:rsidP="004E7E54">
      <w:pPr>
        <w:pStyle w:val="Ttulo5"/>
      </w:pPr>
      <w:r>
        <w:rPr>
          <w:rStyle w:val="mw-headline"/>
        </w:rPr>
        <w:t>Morfología de los pronombres personales</w:t>
      </w:r>
    </w:p>
    <w:p w:rsidR="004E7E54" w:rsidRDefault="004E7E54" w:rsidP="004E7E54">
      <w:pPr>
        <w:pStyle w:val="NormalWeb"/>
      </w:pPr>
      <w:r>
        <w:t>Los pronombres personales en tahitiano disponen de tres personas (primera, segunda y tercera) y de tres gradaciones de número (singular, dual y plural). A estas características hay que añadir una particularidad del tahitiano para la primera persona del dual y del plural: la inclusión o exclusión de la persona a la que uno se está dirigiendo. Así la tabla de los pronombres queda como sigue:</w:t>
      </w:r>
    </w:p>
    <w:p w:rsidR="004E7E54" w:rsidRDefault="004E7E54" w:rsidP="004E7E54">
      <w:pPr>
        <w:shd w:val="clear" w:color="auto" w:fill="CCCCFF"/>
        <w:jc w:val="center"/>
      </w:pPr>
      <w:r>
        <w:rPr>
          <w:b/>
          <w:bCs/>
        </w:rPr>
        <w:t>Pronombres personales</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2134"/>
        <w:gridCol w:w="2149"/>
        <w:gridCol w:w="1841"/>
        <w:gridCol w:w="1908"/>
      </w:tblGrid>
      <w:tr w:rsidR="004E7E54" w:rsidTr="004E7E54">
        <w:tc>
          <w:tcPr>
            <w:tcW w:w="0" w:type="auto"/>
            <w:shd w:val="clear" w:color="auto" w:fill="F9F9F9"/>
            <w:vAlign w:val="center"/>
            <w:hideMark/>
          </w:tcPr>
          <w:p w:rsidR="004E7E54" w:rsidRDefault="004E7E54">
            <w:pPr>
              <w:spacing w:before="240" w:after="240"/>
              <w:jc w:val="center"/>
              <w:rPr>
                <w:b/>
                <w:bCs/>
              </w:rPr>
            </w:pPr>
            <w:r>
              <w:rPr>
                <w:b/>
                <w:bCs/>
              </w:rPr>
              <w:t> </w:t>
            </w:r>
          </w:p>
        </w:tc>
        <w:tc>
          <w:tcPr>
            <w:tcW w:w="0" w:type="auto"/>
            <w:shd w:val="clear" w:color="auto" w:fill="99FF33"/>
            <w:vAlign w:val="center"/>
            <w:hideMark/>
          </w:tcPr>
          <w:p w:rsidR="004E7E54" w:rsidRDefault="004E7E54">
            <w:pPr>
              <w:spacing w:before="240" w:after="240"/>
              <w:jc w:val="center"/>
              <w:rPr>
                <w:b/>
                <w:bCs/>
              </w:rPr>
            </w:pPr>
            <w:r>
              <w:rPr>
                <w:b/>
                <w:bCs/>
              </w:rPr>
              <w:t>Singular</w:t>
            </w:r>
          </w:p>
        </w:tc>
        <w:tc>
          <w:tcPr>
            <w:tcW w:w="0" w:type="auto"/>
            <w:shd w:val="clear" w:color="auto" w:fill="99FF33"/>
            <w:vAlign w:val="center"/>
            <w:hideMark/>
          </w:tcPr>
          <w:p w:rsidR="004E7E54" w:rsidRDefault="004E7E54">
            <w:pPr>
              <w:spacing w:before="240" w:after="240"/>
              <w:jc w:val="center"/>
              <w:rPr>
                <w:b/>
                <w:bCs/>
              </w:rPr>
            </w:pPr>
            <w:r>
              <w:rPr>
                <w:b/>
                <w:bCs/>
              </w:rPr>
              <w:t>Dual</w:t>
            </w:r>
          </w:p>
        </w:tc>
        <w:tc>
          <w:tcPr>
            <w:tcW w:w="0" w:type="auto"/>
            <w:shd w:val="clear" w:color="auto" w:fill="99FF33"/>
            <w:vAlign w:val="center"/>
            <w:hideMark/>
          </w:tcPr>
          <w:p w:rsidR="004E7E54" w:rsidRDefault="004E7E54">
            <w:pPr>
              <w:spacing w:before="240" w:after="240"/>
              <w:jc w:val="center"/>
              <w:rPr>
                <w:b/>
                <w:bCs/>
              </w:rPr>
            </w:pPr>
            <w:r>
              <w:rPr>
                <w:b/>
                <w:bCs/>
              </w:rPr>
              <w:t>Plural</w:t>
            </w:r>
          </w:p>
        </w:tc>
      </w:tr>
      <w:tr w:rsidR="004E7E54" w:rsidTr="004E7E54">
        <w:tc>
          <w:tcPr>
            <w:tcW w:w="0" w:type="auto"/>
            <w:shd w:val="clear" w:color="auto" w:fill="99FF33"/>
            <w:vAlign w:val="center"/>
            <w:hideMark/>
          </w:tcPr>
          <w:p w:rsidR="004E7E54" w:rsidRDefault="004E7E54">
            <w:pPr>
              <w:spacing w:before="240" w:after="240"/>
              <w:rPr>
                <w:b/>
                <w:bCs/>
              </w:rPr>
            </w:pPr>
            <w:r>
              <w:rPr>
                <w:b/>
                <w:bCs/>
              </w:rPr>
              <w:t>Primera persona</w:t>
            </w:r>
          </w:p>
        </w:tc>
        <w:tc>
          <w:tcPr>
            <w:tcW w:w="0" w:type="auto"/>
            <w:shd w:val="clear" w:color="auto" w:fill="F9F9F9"/>
            <w:vAlign w:val="center"/>
            <w:hideMark/>
          </w:tcPr>
          <w:p w:rsidR="004E7E54" w:rsidRDefault="004E7E54">
            <w:pPr>
              <w:spacing w:before="240" w:after="240"/>
              <w:jc w:val="center"/>
            </w:pPr>
            <w:proofErr w:type="spellStart"/>
            <w:r>
              <w:rPr>
                <w:i/>
                <w:iCs/>
              </w:rPr>
              <w:t>vau</w:t>
            </w:r>
            <w:proofErr w:type="spellEnd"/>
            <w:r>
              <w:rPr>
                <w:i/>
                <w:iCs/>
              </w:rPr>
              <w:t xml:space="preserve">, </w:t>
            </w:r>
            <w:proofErr w:type="spellStart"/>
            <w:r>
              <w:rPr>
                <w:i/>
                <w:iCs/>
              </w:rPr>
              <w:t>au</w:t>
            </w:r>
            <w:proofErr w:type="spellEnd"/>
            <w:r>
              <w:rPr>
                <w:i/>
                <w:iCs/>
              </w:rPr>
              <w:t>, -’u</w:t>
            </w:r>
          </w:p>
        </w:tc>
        <w:tc>
          <w:tcPr>
            <w:tcW w:w="0" w:type="auto"/>
            <w:shd w:val="clear" w:color="auto" w:fill="F9F9F9"/>
            <w:vAlign w:val="center"/>
            <w:hideMark/>
          </w:tcPr>
          <w:p w:rsidR="004E7E54" w:rsidRDefault="004E7E54">
            <w:pPr>
              <w:spacing w:before="240" w:after="240"/>
              <w:jc w:val="center"/>
            </w:pPr>
            <w:r>
              <w:t xml:space="preserve">inclusivo: </w:t>
            </w:r>
            <w:proofErr w:type="spellStart"/>
            <w:r>
              <w:rPr>
                <w:i/>
                <w:iCs/>
              </w:rPr>
              <w:t>tāua</w:t>
            </w:r>
            <w:proofErr w:type="spellEnd"/>
            <w:r>
              <w:br/>
              <w:t xml:space="preserve">exclusivo: </w:t>
            </w:r>
            <w:proofErr w:type="spellStart"/>
            <w:r>
              <w:rPr>
                <w:i/>
                <w:iCs/>
              </w:rPr>
              <w:t>māua</w:t>
            </w:r>
            <w:proofErr w:type="spellEnd"/>
          </w:p>
        </w:tc>
        <w:tc>
          <w:tcPr>
            <w:tcW w:w="0" w:type="auto"/>
            <w:shd w:val="clear" w:color="auto" w:fill="F9F9F9"/>
            <w:vAlign w:val="center"/>
            <w:hideMark/>
          </w:tcPr>
          <w:p w:rsidR="004E7E54" w:rsidRDefault="004E7E54">
            <w:pPr>
              <w:spacing w:before="240" w:after="240"/>
              <w:jc w:val="center"/>
            </w:pPr>
            <w:r>
              <w:t xml:space="preserve">inclusivo: </w:t>
            </w:r>
            <w:proofErr w:type="spellStart"/>
            <w:r>
              <w:rPr>
                <w:i/>
                <w:iCs/>
              </w:rPr>
              <w:t>tātou</w:t>
            </w:r>
            <w:proofErr w:type="spellEnd"/>
            <w:r>
              <w:br/>
              <w:t xml:space="preserve">exclusivo: </w:t>
            </w:r>
            <w:proofErr w:type="spellStart"/>
            <w:r>
              <w:rPr>
                <w:i/>
                <w:iCs/>
              </w:rPr>
              <w:t>mātou</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t>Segunda persona</w:t>
            </w:r>
          </w:p>
        </w:tc>
        <w:tc>
          <w:tcPr>
            <w:tcW w:w="0" w:type="auto"/>
            <w:shd w:val="clear" w:color="auto" w:fill="F9F9F9"/>
            <w:vAlign w:val="center"/>
            <w:hideMark/>
          </w:tcPr>
          <w:p w:rsidR="004E7E54" w:rsidRDefault="004E7E54">
            <w:pPr>
              <w:spacing w:before="240" w:after="240"/>
              <w:jc w:val="center"/>
            </w:pPr>
            <w:r>
              <w:rPr>
                <w:i/>
                <w:iCs/>
              </w:rPr>
              <w:t>’</w:t>
            </w:r>
            <w:proofErr w:type="spellStart"/>
            <w:r>
              <w:rPr>
                <w:i/>
                <w:iCs/>
              </w:rPr>
              <w:t>oe</w:t>
            </w:r>
            <w:proofErr w:type="spellEnd"/>
          </w:p>
        </w:tc>
        <w:tc>
          <w:tcPr>
            <w:tcW w:w="0" w:type="auto"/>
            <w:shd w:val="clear" w:color="auto" w:fill="F9F9F9"/>
            <w:vAlign w:val="center"/>
            <w:hideMark/>
          </w:tcPr>
          <w:p w:rsidR="004E7E54" w:rsidRDefault="004E7E54">
            <w:pPr>
              <w:spacing w:before="240" w:after="240"/>
              <w:jc w:val="center"/>
            </w:pPr>
            <w:r>
              <w:rPr>
                <w:i/>
                <w:iCs/>
              </w:rPr>
              <w:t>’</w:t>
            </w:r>
            <w:proofErr w:type="spellStart"/>
            <w:r>
              <w:rPr>
                <w:i/>
                <w:iCs/>
              </w:rPr>
              <w:t>ōrua</w:t>
            </w:r>
            <w:proofErr w:type="spellEnd"/>
          </w:p>
        </w:tc>
        <w:tc>
          <w:tcPr>
            <w:tcW w:w="0" w:type="auto"/>
            <w:shd w:val="clear" w:color="auto" w:fill="F9F9F9"/>
            <w:vAlign w:val="center"/>
            <w:hideMark/>
          </w:tcPr>
          <w:p w:rsidR="004E7E54" w:rsidRDefault="004E7E54">
            <w:pPr>
              <w:spacing w:before="240" w:after="240"/>
              <w:jc w:val="center"/>
            </w:pPr>
            <w:r>
              <w:rPr>
                <w:i/>
                <w:iCs/>
              </w:rPr>
              <w:t>’</w:t>
            </w:r>
            <w:proofErr w:type="spellStart"/>
            <w:r>
              <w:rPr>
                <w:i/>
                <w:iCs/>
              </w:rPr>
              <w:t>outou</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t>Tercera persona</w:t>
            </w:r>
          </w:p>
        </w:tc>
        <w:tc>
          <w:tcPr>
            <w:tcW w:w="0" w:type="auto"/>
            <w:shd w:val="clear" w:color="auto" w:fill="F9F9F9"/>
            <w:vAlign w:val="center"/>
            <w:hideMark/>
          </w:tcPr>
          <w:p w:rsidR="004E7E54" w:rsidRDefault="004E7E54">
            <w:pPr>
              <w:spacing w:before="240" w:after="240"/>
              <w:jc w:val="center"/>
            </w:pPr>
            <w:r>
              <w:rPr>
                <w:i/>
                <w:iCs/>
              </w:rPr>
              <w:t>’’</w:t>
            </w:r>
            <w:proofErr w:type="spellStart"/>
            <w:r>
              <w:rPr>
                <w:i/>
                <w:iCs/>
              </w:rPr>
              <w:t>ōna</w:t>
            </w:r>
            <w:proofErr w:type="spellEnd"/>
            <w:r>
              <w:rPr>
                <w:i/>
                <w:iCs/>
              </w:rPr>
              <w:t>, ’</w:t>
            </w:r>
            <w:proofErr w:type="spellStart"/>
            <w:r>
              <w:rPr>
                <w:i/>
                <w:iCs/>
              </w:rPr>
              <w:t>oia</w:t>
            </w:r>
            <w:proofErr w:type="spellEnd"/>
            <w:r>
              <w:rPr>
                <w:i/>
                <w:iCs/>
              </w:rPr>
              <w:t>, -</w:t>
            </w:r>
            <w:proofErr w:type="spellStart"/>
            <w:r>
              <w:rPr>
                <w:i/>
                <w:iCs/>
              </w:rPr>
              <w:t>na</w:t>
            </w:r>
            <w:proofErr w:type="spellEnd"/>
            <w:r>
              <w:rPr>
                <w:i/>
                <w:iCs/>
              </w:rPr>
              <w:t xml:space="preserve">, </w:t>
            </w:r>
            <w:proofErr w:type="spellStart"/>
            <w:r>
              <w:rPr>
                <w:i/>
                <w:iCs/>
              </w:rPr>
              <w:t>ana</w:t>
            </w:r>
            <w:proofErr w:type="spellEnd"/>
          </w:p>
        </w:tc>
        <w:tc>
          <w:tcPr>
            <w:tcW w:w="0" w:type="auto"/>
            <w:shd w:val="clear" w:color="auto" w:fill="F9F9F9"/>
            <w:vAlign w:val="center"/>
            <w:hideMark/>
          </w:tcPr>
          <w:p w:rsidR="004E7E54" w:rsidRDefault="004E7E54">
            <w:pPr>
              <w:spacing w:before="240" w:after="240"/>
              <w:jc w:val="center"/>
            </w:pPr>
            <w:r>
              <w:rPr>
                <w:i/>
                <w:iCs/>
              </w:rPr>
              <w:t>’</w:t>
            </w:r>
            <w:proofErr w:type="spellStart"/>
            <w:r>
              <w:rPr>
                <w:i/>
                <w:iCs/>
              </w:rPr>
              <w:t>rāua</w:t>
            </w:r>
            <w:proofErr w:type="spellEnd"/>
          </w:p>
        </w:tc>
        <w:tc>
          <w:tcPr>
            <w:tcW w:w="0" w:type="auto"/>
            <w:shd w:val="clear" w:color="auto" w:fill="F9F9F9"/>
            <w:vAlign w:val="center"/>
            <w:hideMark/>
          </w:tcPr>
          <w:p w:rsidR="004E7E54" w:rsidRDefault="004E7E54">
            <w:pPr>
              <w:spacing w:before="240" w:after="240"/>
              <w:jc w:val="center"/>
            </w:pPr>
            <w:r>
              <w:rPr>
                <w:i/>
                <w:iCs/>
              </w:rPr>
              <w:t>’</w:t>
            </w:r>
            <w:proofErr w:type="spellStart"/>
            <w:r>
              <w:rPr>
                <w:i/>
                <w:iCs/>
              </w:rPr>
              <w:t>rātou</w:t>
            </w:r>
            <w:proofErr w:type="spellEnd"/>
          </w:p>
        </w:tc>
      </w:tr>
    </w:tbl>
    <w:p w:rsidR="004E7E54" w:rsidRDefault="004E7E54" w:rsidP="004E7E54">
      <w:pPr>
        <w:pStyle w:val="NormalWeb"/>
      </w:pPr>
      <w:r>
        <w:lastRenderedPageBreak/>
        <w:br w:type="textWrapping" w:clear="all"/>
      </w:r>
    </w:p>
    <w:p w:rsidR="004E7E54" w:rsidRDefault="004E7E54" w:rsidP="004E7E54">
      <w:pPr>
        <w:pStyle w:val="Ttulo5"/>
      </w:pPr>
      <w:r>
        <w:rPr>
          <w:rStyle w:val="mw-headline"/>
        </w:rPr>
        <w:t>Morfología de los determinantes</w:t>
      </w:r>
    </w:p>
    <w:p w:rsidR="004E7E54" w:rsidRDefault="004E7E54" w:rsidP="004E7E54">
      <w:pPr>
        <w:pStyle w:val="NormalWeb"/>
      </w:pPr>
      <w:r>
        <w:t>Dado el gran número de miembros de la familia de los determinantes, sólo veremos aquellos que son más usuales y básicos en el idioma tahitiano: los artículos, los demostrativos y los posesivos.</w:t>
      </w:r>
    </w:p>
    <w:p w:rsidR="004E7E54" w:rsidRDefault="004E7E54" w:rsidP="004E7E54">
      <w:pPr>
        <w:pStyle w:val="NormalWeb"/>
      </w:pPr>
      <w:r>
        <w:t xml:space="preserve">Los </w:t>
      </w:r>
      <w:proofErr w:type="spellStart"/>
      <w:r>
        <w:t>artíulos</w:t>
      </w:r>
      <w:proofErr w:type="spellEnd"/>
      <w:r>
        <w:t xml:space="preserve"> pueden dividirse, como en castellano, en definidos e indefinidos. Hay diversas maneras de fo</w:t>
      </w:r>
      <w:r>
        <w:t>r</w:t>
      </w:r>
      <w:r>
        <w:t xml:space="preserve">mar los artículos a partir de una partícula inicial como </w:t>
      </w:r>
      <w:r>
        <w:rPr>
          <w:i/>
          <w:iCs/>
        </w:rPr>
        <w:t>te</w:t>
      </w:r>
      <w:r>
        <w:t xml:space="preserve"> ("el/la"): </w:t>
      </w:r>
      <w:r>
        <w:rPr>
          <w:i/>
          <w:iCs/>
        </w:rPr>
        <w:t>te ’</w:t>
      </w:r>
      <w:proofErr w:type="spellStart"/>
      <w:r>
        <w:rPr>
          <w:i/>
          <w:iCs/>
        </w:rPr>
        <w:t>oire</w:t>
      </w:r>
      <w:proofErr w:type="spellEnd"/>
      <w:r>
        <w:t xml:space="preserve"> ("la ciudad"); </w:t>
      </w:r>
      <w:r>
        <w:rPr>
          <w:i/>
          <w:iCs/>
        </w:rPr>
        <w:t xml:space="preserve">te </w:t>
      </w:r>
      <w:proofErr w:type="spellStart"/>
      <w:r>
        <w:rPr>
          <w:i/>
          <w:iCs/>
        </w:rPr>
        <w:t>hō’ē</w:t>
      </w:r>
      <w:proofErr w:type="spellEnd"/>
      <w:r>
        <w:rPr>
          <w:i/>
          <w:iCs/>
        </w:rPr>
        <w:t xml:space="preserve"> ’</w:t>
      </w:r>
      <w:proofErr w:type="spellStart"/>
      <w:r>
        <w:rPr>
          <w:i/>
          <w:iCs/>
        </w:rPr>
        <w:t>oire</w:t>
      </w:r>
      <w:proofErr w:type="spellEnd"/>
      <w:r>
        <w:t xml:space="preserve"> ("una ciudad"). Tampoco hay que olvidar la presencia del dual en los artículos, con la partícula </w:t>
      </w:r>
      <w:proofErr w:type="spellStart"/>
      <w:r>
        <w:rPr>
          <w:i/>
          <w:iCs/>
        </w:rPr>
        <w:t>nā</w:t>
      </w:r>
      <w:proofErr w:type="spellEnd"/>
      <w:r>
        <w:t xml:space="preserve">: </w:t>
      </w:r>
      <w:proofErr w:type="spellStart"/>
      <w:r>
        <w:rPr>
          <w:i/>
          <w:iCs/>
        </w:rPr>
        <w:t>nā</w:t>
      </w:r>
      <w:proofErr w:type="spellEnd"/>
      <w:r>
        <w:rPr>
          <w:i/>
          <w:iCs/>
        </w:rPr>
        <w:t xml:space="preserve"> mata</w:t>
      </w:r>
      <w:r>
        <w:t xml:space="preserve"> ("los ojos"). Para indicar el plural la fórmula más habitual para definidos e indefinidos es </w:t>
      </w:r>
      <w:proofErr w:type="spellStart"/>
      <w:r>
        <w:rPr>
          <w:i/>
          <w:iCs/>
        </w:rPr>
        <w:t>mau</w:t>
      </w:r>
      <w:proofErr w:type="spellEnd"/>
      <w:r>
        <w:t xml:space="preserve">: </w:t>
      </w:r>
      <w:r>
        <w:rPr>
          <w:i/>
          <w:iCs/>
        </w:rPr>
        <w:t xml:space="preserve">te </w:t>
      </w:r>
      <w:proofErr w:type="spellStart"/>
      <w:r>
        <w:rPr>
          <w:i/>
          <w:iCs/>
        </w:rPr>
        <w:t>mau</w:t>
      </w:r>
      <w:proofErr w:type="spellEnd"/>
      <w:r>
        <w:rPr>
          <w:i/>
          <w:iCs/>
        </w:rPr>
        <w:t xml:space="preserve"> </w:t>
      </w:r>
      <w:proofErr w:type="spellStart"/>
      <w:r>
        <w:rPr>
          <w:i/>
          <w:iCs/>
        </w:rPr>
        <w:t>fare</w:t>
      </w:r>
      <w:proofErr w:type="spellEnd"/>
      <w:r>
        <w:t xml:space="preserve"> ("las casas"); </w:t>
      </w:r>
      <w:r>
        <w:rPr>
          <w:i/>
          <w:iCs/>
        </w:rPr>
        <w:t xml:space="preserve">te </w:t>
      </w:r>
      <w:proofErr w:type="spellStart"/>
      <w:r>
        <w:rPr>
          <w:i/>
          <w:iCs/>
        </w:rPr>
        <w:t>hō’ē</w:t>
      </w:r>
      <w:proofErr w:type="spellEnd"/>
      <w:r>
        <w:rPr>
          <w:i/>
          <w:iCs/>
        </w:rPr>
        <w:t xml:space="preserve"> </w:t>
      </w:r>
      <w:proofErr w:type="spellStart"/>
      <w:r>
        <w:rPr>
          <w:i/>
          <w:iCs/>
        </w:rPr>
        <w:t>mau</w:t>
      </w:r>
      <w:proofErr w:type="spellEnd"/>
      <w:r>
        <w:rPr>
          <w:i/>
          <w:iCs/>
        </w:rPr>
        <w:t xml:space="preserve"> </w:t>
      </w:r>
      <w:proofErr w:type="spellStart"/>
      <w:r>
        <w:rPr>
          <w:i/>
          <w:iCs/>
        </w:rPr>
        <w:t>fare</w:t>
      </w:r>
      <w:proofErr w:type="spellEnd"/>
      <w:r>
        <w:t xml:space="preserve"> ("unas casas"). Una particularidad del tahitiano compartida con algunas lenguas como el </w:t>
      </w:r>
      <w:hyperlink r:id="rId163" w:tooltip="Idioma catalán" w:history="1">
        <w:r>
          <w:rPr>
            <w:rStyle w:val="Hipervnculo"/>
          </w:rPr>
          <w:t>catalán</w:t>
        </w:r>
      </w:hyperlink>
      <w:r>
        <w:t xml:space="preserve"> es la presencia de un </w:t>
      </w:r>
      <w:hyperlink r:id="rId164" w:tooltip="Artículo personal (aún no redactado)" w:history="1">
        <w:r>
          <w:rPr>
            <w:rStyle w:val="Hipervnculo"/>
          </w:rPr>
          <w:t>artículo personal</w:t>
        </w:r>
      </w:hyperlink>
      <w:r>
        <w:t xml:space="preserve">: </w:t>
      </w:r>
      <w:r>
        <w:rPr>
          <w:i/>
          <w:iCs/>
        </w:rPr>
        <w:t>’o</w:t>
      </w:r>
      <w:r>
        <w:t xml:space="preserve">: </w:t>
      </w:r>
      <w:r>
        <w:rPr>
          <w:i/>
          <w:iCs/>
        </w:rPr>
        <w:t xml:space="preserve">E </w:t>
      </w:r>
      <w:proofErr w:type="spellStart"/>
      <w:r>
        <w:rPr>
          <w:i/>
          <w:iCs/>
        </w:rPr>
        <w:t>fa’ehau</w:t>
      </w:r>
      <w:proofErr w:type="spellEnd"/>
      <w:r>
        <w:rPr>
          <w:i/>
          <w:iCs/>
        </w:rPr>
        <w:t xml:space="preserve"> ’o </w:t>
      </w:r>
      <w:proofErr w:type="spellStart"/>
      <w:r>
        <w:rPr>
          <w:i/>
          <w:iCs/>
        </w:rPr>
        <w:t>Rui</w:t>
      </w:r>
      <w:proofErr w:type="spellEnd"/>
      <w:r>
        <w:t xml:space="preserve"> ("Luis es soldado").</w:t>
      </w:r>
    </w:p>
    <w:p w:rsidR="004E7E54" w:rsidRDefault="004E7E54" w:rsidP="004E7E54">
      <w:pPr>
        <w:pStyle w:val="NormalWeb"/>
      </w:pPr>
      <w:r>
        <w:t>En esta tabla pueden observarse los artículos definidos e indefinidos más habituales:</w:t>
      </w:r>
    </w:p>
    <w:p w:rsidR="004E7E54" w:rsidRDefault="00FE7F35" w:rsidP="004E7E54">
      <w:pPr>
        <w:shd w:val="clear" w:color="auto" w:fill="CCCCFF"/>
        <w:jc w:val="center"/>
      </w:pPr>
      <w:hyperlink r:id="rId165" w:tooltip="Artículo" w:history="1">
        <w:r w:rsidR="004E7E54">
          <w:rPr>
            <w:rStyle w:val="Hipervnculo"/>
            <w:b/>
            <w:bCs/>
          </w:rPr>
          <w:t>Artículos</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267"/>
        <w:gridCol w:w="1081"/>
        <w:gridCol w:w="734"/>
        <w:gridCol w:w="1761"/>
      </w:tblGrid>
      <w:tr w:rsidR="004E7E54" w:rsidTr="004E7E54">
        <w:tc>
          <w:tcPr>
            <w:tcW w:w="0" w:type="auto"/>
            <w:shd w:val="clear" w:color="auto" w:fill="F9F9F9"/>
            <w:vAlign w:val="center"/>
            <w:hideMark/>
          </w:tcPr>
          <w:p w:rsidR="004E7E54" w:rsidRDefault="004E7E54">
            <w:pPr>
              <w:spacing w:before="240" w:after="240"/>
              <w:jc w:val="center"/>
              <w:rPr>
                <w:b/>
                <w:bCs/>
              </w:rPr>
            </w:pPr>
            <w:r>
              <w:rPr>
                <w:b/>
                <w:bCs/>
              </w:rPr>
              <w:t> </w:t>
            </w:r>
          </w:p>
        </w:tc>
        <w:tc>
          <w:tcPr>
            <w:tcW w:w="0" w:type="auto"/>
            <w:shd w:val="clear" w:color="auto" w:fill="99FF33"/>
            <w:vAlign w:val="center"/>
            <w:hideMark/>
          </w:tcPr>
          <w:p w:rsidR="004E7E54" w:rsidRDefault="004E7E54">
            <w:pPr>
              <w:spacing w:before="240" w:after="240"/>
              <w:jc w:val="center"/>
              <w:rPr>
                <w:b/>
                <w:bCs/>
              </w:rPr>
            </w:pPr>
            <w:r>
              <w:rPr>
                <w:b/>
                <w:bCs/>
              </w:rPr>
              <w:t>Singular</w:t>
            </w:r>
          </w:p>
        </w:tc>
        <w:tc>
          <w:tcPr>
            <w:tcW w:w="0" w:type="auto"/>
            <w:shd w:val="clear" w:color="auto" w:fill="99FF33"/>
            <w:vAlign w:val="center"/>
            <w:hideMark/>
          </w:tcPr>
          <w:p w:rsidR="004E7E54" w:rsidRDefault="004E7E54">
            <w:pPr>
              <w:spacing w:before="240" w:after="240"/>
              <w:jc w:val="center"/>
              <w:rPr>
                <w:b/>
                <w:bCs/>
              </w:rPr>
            </w:pPr>
            <w:r>
              <w:rPr>
                <w:b/>
                <w:bCs/>
              </w:rPr>
              <w:t>Dual</w:t>
            </w:r>
          </w:p>
        </w:tc>
        <w:tc>
          <w:tcPr>
            <w:tcW w:w="0" w:type="auto"/>
            <w:shd w:val="clear" w:color="auto" w:fill="99FF33"/>
            <w:vAlign w:val="center"/>
            <w:hideMark/>
          </w:tcPr>
          <w:p w:rsidR="004E7E54" w:rsidRDefault="004E7E54">
            <w:pPr>
              <w:spacing w:before="240" w:after="240"/>
              <w:jc w:val="center"/>
              <w:rPr>
                <w:b/>
                <w:bCs/>
              </w:rPr>
            </w:pPr>
            <w:r>
              <w:rPr>
                <w:b/>
                <w:bCs/>
              </w:rPr>
              <w:t>Plural</w:t>
            </w:r>
          </w:p>
        </w:tc>
      </w:tr>
      <w:tr w:rsidR="004E7E54" w:rsidTr="004E7E54">
        <w:tc>
          <w:tcPr>
            <w:tcW w:w="0" w:type="auto"/>
            <w:shd w:val="clear" w:color="auto" w:fill="99FF33"/>
            <w:vAlign w:val="center"/>
            <w:hideMark/>
          </w:tcPr>
          <w:p w:rsidR="004E7E54" w:rsidRDefault="004E7E54">
            <w:pPr>
              <w:spacing w:before="240" w:after="240"/>
              <w:rPr>
                <w:b/>
                <w:bCs/>
              </w:rPr>
            </w:pPr>
            <w:r>
              <w:rPr>
                <w:b/>
                <w:bCs/>
              </w:rPr>
              <w:t>Definido</w:t>
            </w:r>
          </w:p>
        </w:tc>
        <w:tc>
          <w:tcPr>
            <w:tcW w:w="0" w:type="auto"/>
            <w:shd w:val="clear" w:color="auto" w:fill="F9F9F9"/>
            <w:vAlign w:val="center"/>
            <w:hideMark/>
          </w:tcPr>
          <w:p w:rsidR="004E7E54" w:rsidRDefault="004E7E54">
            <w:pPr>
              <w:spacing w:before="240" w:after="240"/>
              <w:jc w:val="center"/>
            </w:pPr>
            <w:r>
              <w:rPr>
                <w:i/>
                <w:iCs/>
              </w:rPr>
              <w:t>te, t-</w:t>
            </w:r>
          </w:p>
        </w:tc>
        <w:tc>
          <w:tcPr>
            <w:tcW w:w="0" w:type="auto"/>
            <w:shd w:val="clear" w:color="auto" w:fill="F9F9F9"/>
            <w:vAlign w:val="center"/>
            <w:hideMark/>
          </w:tcPr>
          <w:p w:rsidR="004E7E54" w:rsidRDefault="004E7E54">
            <w:pPr>
              <w:spacing w:before="240" w:after="240"/>
              <w:jc w:val="center"/>
            </w:pPr>
            <w:proofErr w:type="spellStart"/>
            <w:r>
              <w:rPr>
                <w:i/>
                <w:iCs/>
              </w:rPr>
              <w:t>nā</w:t>
            </w:r>
            <w:proofErr w:type="spellEnd"/>
            <w:r>
              <w:rPr>
                <w:i/>
                <w:iCs/>
              </w:rPr>
              <w:t>, n-</w:t>
            </w:r>
          </w:p>
        </w:tc>
        <w:tc>
          <w:tcPr>
            <w:tcW w:w="0" w:type="auto"/>
            <w:shd w:val="clear" w:color="auto" w:fill="F9F9F9"/>
            <w:vAlign w:val="center"/>
            <w:hideMark/>
          </w:tcPr>
          <w:p w:rsidR="004E7E54" w:rsidRDefault="004E7E54">
            <w:pPr>
              <w:spacing w:before="240" w:after="240"/>
              <w:jc w:val="center"/>
            </w:pPr>
            <w:r>
              <w:rPr>
                <w:i/>
                <w:iCs/>
              </w:rPr>
              <w:t xml:space="preserve">te </w:t>
            </w:r>
            <w:proofErr w:type="spellStart"/>
            <w:r>
              <w:rPr>
                <w:i/>
                <w:iCs/>
              </w:rPr>
              <w:t>mau</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t>Indefinido</w:t>
            </w:r>
          </w:p>
        </w:tc>
        <w:tc>
          <w:tcPr>
            <w:tcW w:w="0" w:type="auto"/>
            <w:shd w:val="clear" w:color="auto" w:fill="F9F9F9"/>
            <w:vAlign w:val="center"/>
            <w:hideMark/>
          </w:tcPr>
          <w:p w:rsidR="004E7E54" w:rsidRDefault="004E7E54">
            <w:pPr>
              <w:spacing w:before="240" w:after="240"/>
              <w:jc w:val="center"/>
            </w:pPr>
            <w:r>
              <w:rPr>
                <w:i/>
                <w:iCs/>
              </w:rPr>
              <w:t xml:space="preserve">te </w:t>
            </w:r>
            <w:proofErr w:type="spellStart"/>
            <w:r>
              <w:rPr>
                <w:i/>
                <w:iCs/>
              </w:rPr>
              <w:t>hō’ē</w:t>
            </w:r>
            <w:proofErr w:type="spellEnd"/>
          </w:p>
        </w:tc>
        <w:tc>
          <w:tcPr>
            <w:tcW w:w="0" w:type="auto"/>
            <w:shd w:val="clear" w:color="auto" w:fill="F9F9F9"/>
            <w:vAlign w:val="center"/>
            <w:hideMark/>
          </w:tcPr>
          <w:p w:rsidR="004E7E54" w:rsidRDefault="004E7E54">
            <w:pPr>
              <w:spacing w:before="240" w:after="240"/>
              <w:jc w:val="center"/>
            </w:pPr>
            <w:r>
              <w:rPr>
                <w:i/>
                <w:iCs/>
              </w:rPr>
              <w:t>-</w:t>
            </w:r>
          </w:p>
        </w:tc>
        <w:tc>
          <w:tcPr>
            <w:tcW w:w="0" w:type="auto"/>
            <w:shd w:val="clear" w:color="auto" w:fill="F9F9F9"/>
            <w:vAlign w:val="center"/>
            <w:hideMark/>
          </w:tcPr>
          <w:p w:rsidR="004E7E54" w:rsidRDefault="004E7E54">
            <w:pPr>
              <w:spacing w:before="240" w:after="240"/>
              <w:jc w:val="center"/>
            </w:pPr>
            <w:r>
              <w:rPr>
                <w:i/>
                <w:iCs/>
              </w:rPr>
              <w:t xml:space="preserve">te </w:t>
            </w:r>
            <w:proofErr w:type="spellStart"/>
            <w:r>
              <w:rPr>
                <w:i/>
                <w:iCs/>
              </w:rPr>
              <w:t>hō’ē</w:t>
            </w:r>
            <w:proofErr w:type="spellEnd"/>
            <w:r>
              <w:rPr>
                <w:i/>
                <w:iCs/>
              </w:rPr>
              <w:t xml:space="preserve"> </w:t>
            </w:r>
            <w:proofErr w:type="spellStart"/>
            <w:r>
              <w:rPr>
                <w:i/>
                <w:iCs/>
              </w:rPr>
              <w:t>mau</w:t>
            </w:r>
            <w:proofErr w:type="spellEnd"/>
            <w:r>
              <w:rPr>
                <w:i/>
                <w:iCs/>
              </w:rPr>
              <w:t xml:space="preserve">, </w:t>
            </w:r>
            <w:proofErr w:type="spellStart"/>
            <w:r>
              <w:rPr>
                <w:i/>
                <w:iCs/>
              </w:rPr>
              <w:t>vē</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t>Personal</w:t>
            </w:r>
          </w:p>
        </w:tc>
        <w:tc>
          <w:tcPr>
            <w:tcW w:w="0" w:type="auto"/>
            <w:shd w:val="clear" w:color="auto" w:fill="F9F9F9"/>
            <w:vAlign w:val="center"/>
            <w:hideMark/>
          </w:tcPr>
          <w:p w:rsidR="004E7E54" w:rsidRDefault="004E7E54">
            <w:pPr>
              <w:spacing w:before="240" w:after="240"/>
              <w:jc w:val="center"/>
            </w:pPr>
            <w:r>
              <w:rPr>
                <w:i/>
                <w:iCs/>
              </w:rPr>
              <w:t>’o</w:t>
            </w:r>
          </w:p>
        </w:tc>
        <w:tc>
          <w:tcPr>
            <w:tcW w:w="0" w:type="auto"/>
            <w:shd w:val="clear" w:color="auto" w:fill="F9F9F9"/>
            <w:vAlign w:val="center"/>
            <w:hideMark/>
          </w:tcPr>
          <w:p w:rsidR="004E7E54" w:rsidRDefault="004E7E54">
            <w:pPr>
              <w:spacing w:before="240" w:after="240"/>
              <w:jc w:val="center"/>
            </w:pPr>
            <w:r>
              <w:rPr>
                <w:i/>
                <w:iCs/>
              </w:rPr>
              <w:t>-</w:t>
            </w:r>
          </w:p>
        </w:tc>
        <w:tc>
          <w:tcPr>
            <w:tcW w:w="0" w:type="auto"/>
            <w:shd w:val="clear" w:color="auto" w:fill="F9F9F9"/>
            <w:vAlign w:val="center"/>
            <w:hideMark/>
          </w:tcPr>
          <w:p w:rsidR="004E7E54" w:rsidRDefault="004E7E54">
            <w:pPr>
              <w:spacing w:before="240" w:after="240"/>
              <w:jc w:val="center"/>
            </w:pPr>
            <w:r>
              <w:rPr>
                <w:i/>
                <w:iCs/>
              </w:rPr>
              <w:t>-</w:t>
            </w:r>
          </w:p>
        </w:tc>
      </w:tr>
    </w:tbl>
    <w:p w:rsidR="004E7E54" w:rsidRDefault="004E7E54" w:rsidP="004E7E54">
      <w:pPr>
        <w:pStyle w:val="NormalWeb"/>
      </w:pPr>
      <w:r>
        <w:br w:type="textWrapping" w:clear="all"/>
      </w:r>
    </w:p>
    <w:p w:rsidR="004E7E54" w:rsidRDefault="004E7E54" w:rsidP="004E7E54">
      <w:pPr>
        <w:pStyle w:val="NormalWeb"/>
      </w:pPr>
      <w:r>
        <w:t xml:space="preserve">En cuanto a los demostrativos, estos presentan una estructura sencilla, en la que no quedan muy claras las fronteras entre la proximidad y la lejanía, de la misma manera que tampoco lo están entre un demostrativo singular y uno neutro. De manera similar, hay una gran </w:t>
      </w:r>
      <w:hyperlink r:id="rId166" w:tooltip="Sinonimia (semántica)" w:history="1">
        <w:r>
          <w:rPr>
            <w:rStyle w:val="Hipervnculo"/>
          </w:rPr>
          <w:t>sinonimia</w:t>
        </w:r>
      </w:hyperlink>
      <w:r>
        <w:t xml:space="preserve"> en el campo de los demostrativos y se pueden encontrar diversas formas con el mismo significado, sin que haya matices significativos para el hablante. Con todo, se puede polarizar la cercanía y la lejanía con dos palabras concretas: </w:t>
      </w:r>
      <w:proofErr w:type="spellStart"/>
      <w:r>
        <w:rPr>
          <w:i/>
          <w:iCs/>
        </w:rPr>
        <w:t>teie</w:t>
      </w:r>
      <w:proofErr w:type="spellEnd"/>
      <w:r>
        <w:t xml:space="preserve"> y derivados de esta forma como </w:t>
      </w:r>
      <w:proofErr w:type="spellStart"/>
      <w:r>
        <w:rPr>
          <w:i/>
          <w:iCs/>
        </w:rPr>
        <w:t>te’ie</w:t>
      </w:r>
      <w:proofErr w:type="spellEnd"/>
      <w:r>
        <w:t xml:space="preserve"> y </w:t>
      </w:r>
      <w:proofErr w:type="spellStart"/>
      <w:r>
        <w:rPr>
          <w:i/>
          <w:iCs/>
        </w:rPr>
        <w:t>teie</w:t>
      </w:r>
      <w:proofErr w:type="spellEnd"/>
      <w:r>
        <w:rPr>
          <w:i/>
          <w:iCs/>
        </w:rPr>
        <w:t xml:space="preserve"> </w:t>
      </w:r>
      <w:proofErr w:type="spellStart"/>
      <w:r>
        <w:rPr>
          <w:i/>
          <w:iCs/>
        </w:rPr>
        <w:t>nei</w:t>
      </w:r>
      <w:proofErr w:type="spellEnd"/>
      <w:r>
        <w:t xml:space="preserve"> para la proximidad, y </w:t>
      </w:r>
      <w:proofErr w:type="spellStart"/>
      <w:r>
        <w:rPr>
          <w:i/>
          <w:iCs/>
        </w:rPr>
        <w:t>terā</w:t>
      </w:r>
      <w:proofErr w:type="spellEnd"/>
      <w:r>
        <w:t xml:space="preserve"> para la lejanía: </w:t>
      </w:r>
      <w:proofErr w:type="spellStart"/>
      <w:r>
        <w:rPr>
          <w:i/>
          <w:iCs/>
        </w:rPr>
        <w:t>teie</w:t>
      </w:r>
      <w:proofErr w:type="spellEnd"/>
      <w:r>
        <w:rPr>
          <w:i/>
          <w:iCs/>
        </w:rPr>
        <w:t xml:space="preserve"> </w:t>
      </w:r>
      <w:proofErr w:type="spellStart"/>
      <w:r>
        <w:rPr>
          <w:i/>
          <w:iCs/>
        </w:rPr>
        <w:t>fare</w:t>
      </w:r>
      <w:proofErr w:type="spellEnd"/>
      <w:r>
        <w:t xml:space="preserve"> ("esta casa"); </w:t>
      </w:r>
      <w:proofErr w:type="spellStart"/>
      <w:r>
        <w:rPr>
          <w:i/>
          <w:iCs/>
        </w:rPr>
        <w:t>terā</w:t>
      </w:r>
      <w:proofErr w:type="spellEnd"/>
      <w:r>
        <w:rPr>
          <w:i/>
          <w:iCs/>
        </w:rPr>
        <w:t xml:space="preserve"> </w:t>
      </w:r>
      <w:proofErr w:type="spellStart"/>
      <w:r>
        <w:rPr>
          <w:i/>
          <w:iCs/>
        </w:rPr>
        <w:t>fare</w:t>
      </w:r>
      <w:proofErr w:type="spellEnd"/>
      <w:r>
        <w:t xml:space="preserve"> ("aquella casa"). Un demostrativo sin adscripción sería </w:t>
      </w:r>
      <w:proofErr w:type="spellStart"/>
      <w:r>
        <w:rPr>
          <w:i/>
          <w:iCs/>
        </w:rPr>
        <w:t>tēnā</w:t>
      </w:r>
      <w:proofErr w:type="spellEnd"/>
      <w:r>
        <w:t xml:space="preserve">, que puede tener ambos significados: </w:t>
      </w:r>
      <w:proofErr w:type="spellStart"/>
      <w:r>
        <w:rPr>
          <w:i/>
          <w:iCs/>
        </w:rPr>
        <w:t>tēnā</w:t>
      </w:r>
      <w:proofErr w:type="spellEnd"/>
      <w:r>
        <w:rPr>
          <w:i/>
          <w:iCs/>
        </w:rPr>
        <w:t xml:space="preserve"> </w:t>
      </w:r>
      <w:proofErr w:type="spellStart"/>
      <w:r>
        <w:rPr>
          <w:i/>
          <w:iCs/>
        </w:rPr>
        <w:t>fare</w:t>
      </w:r>
      <w:proofErr w:type="spellEnd"/>
      <w:r>
        <w:t xml:space="preserve"> ("esta/aquella casa"). Para la construcción del plural se utiliza la partícula </w:t>
      </w:r>
      <w:proofErr w:type="spellStart"/>
      <w:r>
        <w:rPr>
          <w:i/>
          <w:iCs/>
        </w:rPr>
        <w:t>mau</w:t>
      </w:r>
      <w:proofErr w:type="spellEnd"/>
      <w:r>
        <w:t xml:space="preserve">, como en los artículos. Los demostrativos </w:t>
      </w:r>
      <w:proofErr w:type="spellStart"/>
      <w:r>
        <w:t>pronominalitados</w:t>
      </w:r>
      <w:proofErr w:type="spellEnd"/>
      <w:r>
        <w:t xml:space="preserve"> son idénticos a los que actúan como determinados.</w:t>
      </w:r>
    </w:p>
    <w:p w:rsidR="004E7E54" w:rsidRDefault="004E7E54" w:rsidP="004E7E54">
      <w:pPr>
        <w:pStyle w:val="NormalWeb"/>
      </w:pPr>
      <w:r>
        <w:t>Seguidamente, podemos ver una tabla con los demostrativos:</w:t>
      </w:r>
    </w:p>
    <w:p w:rsidR="004E7E54" w:rsidRDefault="00FE7F35" w:rsidP="004E7E54">
      <w:pPr>
        <w:shd w:val="clear" w:color="auto" w:fill="CCCCFF"/>
        <w:jc w:val="center"/>
      </w:pPr>
      <w:hyperlink r:id="rId167" w:tooltip="Demostrativo" w:history="1">
        <w:r w:rsidR="004E7E54">
          <w:rPr>
            <w:rStyle w:val="Hipervnculo"/>
            <w:b/>
            <w:bCs/>
          </w:rPr>
          <w:t>Demostrativos</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427"/>
        <w:gridCol w:w="1682"/>
        <w:gridCol w:w="3282"/>
        <w:gridCol w:w="894"/>
      </w:tblGrid>
      <w:tr w:rsidR="004E7E54" w:rsidTr="004E7E54">
        <w:tc>
          <w:tcPr>
            <w:tcW w:w="0" w:type="auto"/>
            <w:shd w:val="clear" w:color="auto" w:fill="F9F9F9"/>
            <w:vAlign w:val="center"/>
            <w:hideMark/>
          </w:tcPr>
          <w:p w:rsidR="004E7E54" w:rsidRDefault="004E7E54">
            <w:pPr>
              <w:spacing w:before="240" w:after="240"/>
              <w:jc w:val="center"/>
              <w:rPr>
                <w:b/>
                <w:bCs/>
              </w:rPr>
            </w:pPr>
            <w:r>
              <w:rPr>
                <w:b/>
                <w:bCs/>
              </w:rPr>
              <w:t> </w:t>
            </w:r>
          </w:p>
        </w:tc>
        <w:tc>
          <w:tcPr>
            <w:tcW w:w="0" w:type="auto"/>
            <w:shd w:val="clear" w:color="auto" w:fill="99FF33"/>
            <w:vAlign w:val="center"/>
            <w:hideMark/>
          </w:tcPr>
          <w:p w:rsidR="004E7E54" w:rsidRDefault="004E7E54">
            <w:pPr>
              <w:spacing w:before="240" w:after="240"/>
              <w:jc w:val="center"/>
              <w:rPr>
                <w:b/>
                <w:bCs/>
              </w:rPr>
            </w:pPr>
            <w:r>
              <w:rPr>
                <w:b/>
                <w:bCs/>
              </w:rPr>
              <w:t>Singular</w:t>
            </w:r>
          </w:p>
        </w:tc>
        <w:tc>
          <w:tcPr>
            <w:tcW w:w="0" w:type="auto"/>
            <w:shd w:val="clear" w:color="auto" w:fill="99FF33"/>
            <w:vAlign w:val="center"/>
            <w:hideMark/>
          </w:tcPr>
          <w:p w:rsidR="004E7E54" w:rsidRDefault="004E7E54">
            <w:pPr>
              <w:spacing w:before="240" w:after="240"/>
              <w:jc w:val="center"/>
              <w:rPr>
                <w:b/>
                <w:bCs/>
              </w:rPr>
            </w:pPr>
            <w:r>
              <w:rPr>
                <w:b/>
                <w:bCs/>
              </w:rPr>
              <w:t>Plural</w:t>
            </w:r>
          </w:p>
        </w:tc>
        <w:tc>
          <w:tcPr>
            <w:tcW w:w="0" w:type="auto"/>
            <w:shd w:val="clear" w:color="auto" w:fill="99FF33"/>
            <w:vAlign w:val="center"/>
            <w:hideMark/>
          </w:tcPr>
          <w:p w:rsidR="004E7E54" w:rsidRDefault="004E7E54">
            <w:pPr>
              <w:spacing w:before="240" w:after="240"/>
              <w:jc w:val="center"/>
              <w:rPr>
                <w:b/>
                <w:bCs/>
              </w:rPr>
            </w:pPr>
            <w:r>
              <w:rPr>
                <w:b/>
                <w:bCs/>
              </w:rPr>
              <w:t>Neutro</w:t>
            </w:r>
          </w:p>
        </w:tc>
      </w:tr>
      <w:tr w:rsidR="004E7E54" w:rsidTr="004E7E54">
        <w:tc>
          <w:tcPr>
            <w:tcW w:w="0" w:type="auto"/>
            <w:shd w:val="clear" w:color="auto" w:fill="99FF33"/>
            <w:vAlign w:val="center"/>
            <w:hideMark/>
          </w:tcPr>
          <w:p w:rsidR="004E7E54" w:rsidRDefault="004E7E54">
            <w:pPr>
              <w:spacing w:before="240" w:after="240"/>
              <w:rPr>
                <w:b/>
                <w:bCs/>
              </w:rPr>
            </w:pPr>
            <w:r>
              <w:rPr>
                <w:b/>
                <w:bCs/>
              </w:rPr>
              <w:t>Proximidad</w:t>
            </w:r>
          </w:p>
        </w:tc>
        <w:tc>
          <w:tcPr>
            <w:tcW w:w="0" w:type="auto"/>
            <w:shd w:val="clear" w:color="auto" w:fill="F9F9F9"/>
            <w:vAlign w:val="center"/>
            <w:hideMark/>
          </w:tcPr>
          <w:p w:rsidR="004E7E54" w:rsidRDefault="004E7E54">
            <w:pPr>
              <w:spacing w:before="240" w:after="240"/>
              <w:jc w:val="center"/>
            </w:pPr>
            <w:proofErr w:type="spellStart"/>
            <w:r>
              <w:rPr>
                <w:i/>
                <w:iCs/>
              </w:rPr>
              <w:t>teie</w:t>
            </w:r>
            <w:proofErr w:type="spellEnd"/>
            <w:r>
              <w:rPr>
                <w:i/>
                <w:iCs/>
              </w:rPr>
              <w:t xml:space="preserve">, </w:t>
            </w:r>
            <w:proofErr w:type="spellStart"/>
            <w:r>
              <w:rPr>
                <w:i/>
                <w:iCs/>
              </w:rPr>
              <w:t>te’ie</w:t>
            </w:r>
            <w:proofErr w:type="spellEnd"/>
            <w:r>
              <w:rPr>
                <w:i/>
                <w:iCs/>
              </w:rPr>
              <w:t xml:space="preserve">, </w:t>
            </w:r>
            <w:proofErr w:type="spellStart"/>
            <w:r>
              <w:rPr>
                <w:i/>
                <w:iCs/>
              </w:rPr>
              <w:t>tēnā</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teie</w:t>
            </w:r>
            <w:proofErr w:type="spellEnd"/>
            <w:r>
              <w:rPr>
                <w:i/>
                <w:iCs/>
              </w:rPr>
              <w:t xml:space="preserve"> </w:t>
            </w:r>
            <w:proofErr w:type="spellStart"/>
            <w:r>
              <w:rPr>
                <w:i/>
                <w:iCs/>
              </w:rPr>
              <w:t>mau</w:t>
            </w:r>
            <w:proofErr w:type="spellEnd"/>
            <w:r>
              <w:rPr>
                <w:i/>
                <w:iCs/>
              </w:rPr>
              <w:t xml:space="preserve">, </w:t>
            </w:r>
            <w:proofErr w:type="spellStart"/>
            <w:r>
              <w:rPr>
                <w:i/>
                <w:iCs/>
              </w:rPr>
              <w:t>te’ie</w:t>
            </w:r>
            <w:proofErr w:type="spellEnd"/>
            <w:r>
              <w:rPr>
                <w:i/>
                <w:iCs/>
              </w:rPr>
              <w:t xml:space="preserve"> </w:t>
            </w:r>
            <w:proofErr w:type="spellStart"/>
            <w:r>
              <w:rPr>
                <w:i/>
                <w:iCs/>
              </w:rPr>
              <w:t>mau</w:t>
            </w:r>
            <w:proofErr w:type="spellEnd"/>
            <w:r>
              <w:rPr>
                <w:i/>
                <w:iCs/>
              </w:rPr>
              <w:t xml:space="preserve">, </w:t>
            </w:r>
            <w:proofErr w:type="spellStart"/>
            <w:r>
              <w:rPr>
                <w:i/>
                <w:iCs/>
              </w:rPr>
              <w:t>tēnā</w:t>
            </w:r>
            <w:proofErr w:type="spellEnd"/>
            <w:r>
              <w:rPr>
                <w:i/>
                <w:iCs/>
              </w:rPr>
              <w:t xml:space="preserve"> </w:t>
            </w:r>
            <w:proofErr w:type="spellStart"/>
            <w:r>
              <w:rPr>
                <w:i/>
                <w:iCs/>
              </w:rPr>
              <w:t>mau</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teie</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lastRenderedPageBreak/>
              <w:t>Lejanía</w:t>
            </w:r>
          </w:p>
        </w:tc>
        <w:tc>
          <w:tcPr>
            <w:tcW w:w="0" w:type="auto"/>
            <w:shd w:val="clear" w:color="auto" w:fill="F9F9F9"/>
            <w:vAlign w:val="center"/>
            <w:hideMark/>
          </w:tcPr>
          <w:p w:rsidR="004E7E54" w:rsidRDefault="004E7E54">
            <w:pPr>
              <w:spacing w:before="240" w:after="240"/>
              <w:jc w:val="center"/>
            </w:pPr>
            <w:proofErr w:type="spellStart"/>
            <w:r>
              <w:rPr>
                <w:i/>
                <w:iCs/>
              </w:rPr>
              <w:t>terā</w:t>
            </w:r>
            <w:proofErr w:type="spellEnd"/>
            <w:r>
              <w:rPr>
                <w:i/>
                <w:iCs/>
              </w:rPr>
              <w:t xml:space="preserve">, </w:t>
            </w:r>
            <w:proofErr w:type="spellStart"/>
            <w:r>
              <w:rPr>
                <w:i/>
                <w:iCs/>
              </w:rPr>
              <w:t>tēnā</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terā</w:t>
            </w:r>
            <w:proofErr w:type="spellEnd"/>
            <w:r>
              <w:rPr>
                <w:i/>
                <w:iCs/>
              </w:rPr>
              <w:t xml:space="preserve"> </w:t>
            </w:r>
            <w:proofErr w:type="spellStart"/>
            <w:r>
              <w:rPr>
                <w:i/>
                <w:iCs/>
              </w:rPr>
              <w:t>mau</w:t>
            </w:r>
            <w:proofErr w:type="spellEnd"/>
            <w:r>
              <w:rPr>
                <w:i/>
                <w:iCs/>
              </w:rPr>
              <w:t xml:space="preserve">, </w:t>
            </w:r>
            <w:proofErr w:type="spellStart"/>
            <w:r>
              <w:rPr>
                <w:i/>
                <w:iCs/>
              </w:rPr>
              <w:t>tēnā</w:t>
            </w:r>
            <w:proofErr w:type="spellEnd"/>
            <w:r>
              <w:rPr>
                <w:i/>
                <w:iCs/>
              </w:rPr>
              <w:t xml:space="preserve"> </w:t>
            </w:r>
            <w:proofErr w:type="spellStart"/>
            <w:r>
              <w:rPr>
                <w:i/>
                <w:iCs/>
              </w:rPr>
              <w:t>mau</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terā</w:t>
            </w:r>
            <w:proofErr w:type="spellEnd"/>
          </w:p>
        </w:tc>
      </w:tr>
    </w:tbl>
    <w:p w:rsidR="004E7E54" w:rsidRDefault="004E7E54" w:rsidP="004E7E54">
      <w:pPr>
        <w:pStyle w:val="NormalWeb"/>
      </w:pPr>
      <w:r>
        <w:br w:type="textWrapping" w:clear="all"/>
      </w:r>
    </w:p>
    <w:p w:rsidR="004E7E54" w:rsidRDefault="004E7E54" w:rsidP="004E7E54">
      <w:pPr>
        <w:pStyle w:val="NormalWeb"/>
      </w:pPr>
      <w:r>
        <w:t>Finalmente, en cuanto a los posesivos, presentan dos grados de posesión: fuerte (propiedad constitutiva, p</w:t>
      </w:r>
      <w:r>
        <w:t>o</w:t>
      </w:r>
      <w:r>
        <w:t xml:space="preserve">sesión pasiva) y débil (propiedad no constitutiva, posesión activa. Ejemplo de expresión de posesión fuerte sería </w:t>
      </w:r>
      <w:proofErr w:type="spellStart"/>
      <w:r>
        <w:rPr>
          <w:i/>
          <w:iCs/>
        </w:rPr>
        <w:t>tōna</w:t>
      </w:r>
      <w:proofErr w:type="spellEnd"/>
      <w:r>
        <w:rPr>
          <w:i/>
          <w:iCs/>
        </w:rPr>
        <w:t xml:space="preserve"> pape</w:t>
      </w:r>
      <w:r>
        <w:t xml:space="preserve"> ("su agua", refiriéndose al agua de un río con respecto a ese río); mientras que de débil sería </w:t>
      </w:r>
      <w:proofErr w:type="spellStart"/>
      <w:r>
        <w:rPr>
          <w:i/>
          <w:iCs/>
        </w:rPr>
        <w:t>tāna</w:t>
      </w:r>
      <w:proofErr w:type="spellEnd"/>
      <w:r>
        <w:rPr>
          <w:i/>
          <w:iCs/>
        </w:rPr>
        <w:t xml:space="preserve"> pape</w:t>
      </w:r>
      <w:r>
        <w:t xml:space="preserve"> ("su agua", la que uno está bebiendo). A estos grados de posesión se añade un tercero para el si</w:t>
      </w:r>
      <w:r>
        <w:t>n</w:t>
      </w:r>
      <w:r>
        <w:t xml:space="preserve">gular, que es el de la posesión neutra. La posesión fuerte se expresa a partir de la raíz </w:t>
      </w:r>
      <w:proofErr w:type="spellStart"/>
      <w:r>
        <w:rPr>
          <w:i/>
          <w:iCs/>
        </w:rPr>
        <w:t>tō</w:t>
      </w:r>
      <w:proofErr w:type="spellEnd"/>
      <w:r>
        <w:rPr>
          <w:i/>
          <w:iCs/>
        </w:rPr>
        <w:t>-</w:t>
      </w:r>
      <w:r>
        <w:t xml:space="preserve">, la neutra a partir de </w:t>
      </w:r>
      <w:proofErr w:type="spellStart"/>
      <w:r>
        <w:rPr>
          <w:i/>
          <w:iCs/>
        </w:rPr>
        <w:t>ta</w:t>
      </w:r>
      <w:proofErr w:type="spellEnd"/>
      <w:r>
        <w:t xml:space="preserve"> y la débil a partir de </w:t>
      </w:r>
      <w:proofErr w:type="spellStart"/>
      <w:r>
        <w:rPr>
          <w:i/>
          <w:iCs/>
        </w:rPr>
        <w:t>tā</w:t>
      </w:r>
      <w:proofErr w:type="spellEnd"/>
      <w:r>
        <w:t xml:space="preserve">. Como en </w:t>
      </w:r>
      <w:hyperlink r:id="rId168" w:tooltip="Idioma español" w:history="1">
        <w:r>
          <w:rPr>
            <w:rStyle w:val="Hipervnculo"/>
          </w:rPr>
          <w:t>castellano</w:t>
        </w:r>
      </w:hyperlink>
      <w:r>
        <w:t xml:space="preserve"> o </w:t>
      </w:r>
      <w:hyperlink r:id="rId169" w:tooltip="Idioma francés" w:history="1">
        <w:r>
          <w:rPr>
            <w:rStyle w:val="Hipervnculo"/>
          </w:rPr>
          <w:t>francés</w:t>
        </w:r>
      </w:hyperlink>
      <w:r>
        <w:t>, el posesivo no se acompaña de artículo (</w:t>
      </w:r>
      <w:r>
        <w:rPr>
          <w:i/>
          <w:iCs/>
        </w:rPr>
        <w:t xml:space="preserve">te, te </w:t>
      </w:r>
      <w:proofErr w:type="spellStart"/>
      <w:r>
        <w:rPr>
          <w:i/>
          <w:iCs/>
        </w:rPr>
        <w:t>mau</w:t>
      </w:r>
      <w:proofErr w:type="spellEnd"/>
      <w:r>
        <w:t>) cuando actúa de determinante; sí que lo lleva, en cambio, cuando actúa como pronombre posesivo.</w:t>
      </w:r>
    </w:p>
    <w:p w:rsidR="004E7E54" w:rsidRDefault="004E7E54" w:rsidP="004E7E54">
      <w:pPr>
        <w:pStyle w:val="NormalWeb"/>
      </w:pPr>
      <w:r>
        <w:t xml:space="preserve">La tabla siguiente </w:t>
      </w:r>
      <w:proofErr w:type="spellStart"/>
      <w:r>
        <w:t>contéiene</w:t>
      </w:r>
      <w:proofErr w:type="spellEnd"/>
      <w:r>
        <w:t xml:space="preserve"> los posesivos con las tres gradaciones de posesión que existen en tahitiano:</w:t>
      </w:r>
    </w:p>
    <w:p w:rsidR="004E7E54" w:rsidRDefault="00FE7F35" w:rsidP="004E7E54">
      <w:pPr>
        <w:shd w:val="clear" w:color="auto" w:fill="CCCCFF"/>
        <w:jc w:val="center"/>
      </w:pPr>
      <w:hyperlink r:id="rId170" w:tooltip="Posesivo" w:history="1">
        <w:r w:rsidR="004E7E54">
          <w:rPr>
            <w:rStyle w:val="Hipervnculo"/>
            <w:b/>
            <w:bCs/>
          </w:rPr>
          <w:t>Posesivos</w:t>
        </w:r>
      </w:hyperlink>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2134"/>
        <w:gridCol w:w="1921"/>
        <w:gridCol w:w="1988"/>
        <w:gridCol w:w="1814"/>
      </w:tblGrid>
      <w:tr w:rsidR="004E7E54" w:rsidTr="004E7E54">
        <w:tc>
          <w:tcPr>
            <w:tcW w:w="0" w:type="auto"/>
            <w:shd w:val="clear" w:color="auto" w:fill="F9F9F9"/>
            <w:vAlign w:val="center"/>
            <w:hideMark/>
          </w:tcPr>
          <w:p w:rsidR="004E7E54" w:rsidRDefault="004E7E54">
            <w:pPr>
              <w:spacing w:before="240" w:after="240"/>
              <w:jc w:val="center"/>
              <w:rPr>
                <w:b/>
                <w:bCs/>
              </w:rPr>
            </w:pPr>
            <w:r>
              <w:rPr>
                <w:b/>
                <w:bCs/>
              </w:rPr>
              <w:t> </w:t>
            </w:r>
          </w:p>
        </w:tc>
        <w:tc>
          <w:tcPr>
            <w:tcW w:w="0" w:type="auto"/>
            <w:shd w:val="clear" w:color="auto" w:fill="99FF33"/>
            <w:vAlign w:val="center"/>
            <w:hideMark/>
          </w:tcPr>
          <w:p w:rsidR="004E7E54" w:rsidRDefault="004E7E54">
            <w:pPr>
              <w:spacing w:before="240" w:after="240"/>
              <w:jc w:val="center"/>
              <w:rPr>
                <w:b/>
                <w:bCs/>
              </w:rPr>
            </w:pPr>
            <w:r>
              <w:rPr>
                <w:b/>
                <w:bCs/>
              </w:rPr>
              <w:t>Posesión fuerte</w:t>
            </w:r>
          </w:p>
        </w:tc>
        <w:tc>
          <w:tcPr>
            <w:tcW w:w="0" w:type="auto"/>
            <w:shd w:val="clear" w:color="auto" w:fill="99FF33"/>
            <w:vAlign w:val="center"/>
            <w:hideMark/>
          </w:tcPr>
          <w:p w:rsidR="004E7E54" w:rsidRDefault="004E7E54">
            <w:pPr>
              <w:spacing w:before="240" w:after="240"/>
              <w:jc w:val="center"/>
              <w:rPr>
                <w:b/>
                <w:bCs/>
              </w:rPr>
            </w:pPr>
            <w:r>
              <w:rPr>
                <w:b/>
                <w:bCs/>
              </w:rPr>
              <w:t>Posesión neutra</w:t>
            </w:r>
          </w:p>
        </w:tc>
        <w:tc>
          <w:tcPr>
            <w:tcW w:w="0" w:type="auto"/>
            <w:shd w:val="clear" w:color="auto" w:fill="99FF33"/>
            <w:vAlign w:val="center"/>
            <w:hideMark/>
          </w:tcPr>
          <w:p w:rsidR="004E7E54" w:rsidRDefault="004E7E54">
            <w:pPr>
              <w:spacing w:before="240" w:after="240"/>
              <w:jc w:val="center"/>
              <w:rPr>
                <w:b/>
                <w:bCs/>
              </w:rPr>
            </w:pPr>
            <w:r>
              <w:rPr>
                <w:b/>
                <w:bCs/>
              </w:rPr>
              <w:t>Posesión débil</w:t>
            </w:r>
          </w:p>
        </w:tc>
      </w:tr>
      <w:tr w:rsidR="004E7E54" w:rsidTr="004E7E54">
        <w:tc>
          <w:tcPr>
            <w:tcW w:w="0" w:type="auto"/>
            <w:shd w:val="clear" w:color="auto" w:fill="99FF33"/>
            <w:vAlign w:val="center"/>
            <w:hideMark/>
          </w:tcPr>
          <w:p w:rsidR="004E7E54" w:rsidRDefault="004E7E54">
            <w:pPr>
              <w:spacing w:before="240" w:after="240"/>
              <w:rPr>
                <w:b/>
                <w:bCs/>
              </w:rPr>
            </w:pPr>
            <w:r>
              <w:rPr>
                <w:b/>
                <w:bCs/>
              </w:rPr>
              <w:t>Primera persona</w:t>
            </w:r>
          </w:p>
        </w:tc>
        <w:tc>
          <w:tcPr>
            <w:tcW w:w="0" w:type="auto"/>
            <w:shd w:val="clear" w:color="auto" w:fill="F9F9F9"/>
            <w:vAlign w:val="center"/>
            <w:hideMark/>
          </w:tcPr>
          <w:p w:rsidR="004E7E54" w:rsidRDefault="004E7E54">
            <w:pPr>
              <w:spacing w:before="240" w:after="240"/>
              <w:jc w:val="center"/>
            </w:pPr>
            <w:proofErr w:type="spellStart"/>
            <w:r>
              <w:rPr>
                <w:i/>
                <w:iCs/>
              </w:rPr>
              <w:t>tō’u</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ta’u</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tā’u</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t>Segunda persona</w:t>
            </w:r>
          </w:p>
        </w:tc>
        <w:tc>
          <w:tcPr>
            <w:tcW w:w="0" w:type="auto"/>
            <w:shd w:val="clear" w:color="auto" w:fill="F9F9F9"/>
            <w:vAlign w:val="center"/>
            <w:hideMark/>
          </w:tcPr>
          <w:p w:rsidR="004E7E54" w:rsidRDefault="004E7E54">
            <w:pPr>
              <w:spacing w:before="240" w:after="240"/>
              <w:jc w:val="center"/>
            </w:pPr>
            <w:proofErr w:type="spellStart"/>
            <w:r>
              <w:rPr>
                <w:i/>
                <w:iCs/>
              </w:rPr>
              <w:t>tō’oe</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tō</w:t>
            </w:r>
            <w:proofErr w:type="spellEnd"/>
          </w:p>
        </w:tc>
        <w:tc>
          <w:tcPr>
            <w:tcW w:w="0" w:type="auto"/>
            <w:shd w:val="clear" w:color="auto" w:fill="F9F9F9"/>
            <w:vAlign w:val="center"/>
            <w:hideMark/>
          </w:tcPr>
          <w:p w:rsidR="004E7E54" w:rsidRDefault="004E7E54">
            <w:pPr>
              <w:spacing w:before="240" w:after="240"/>
              <w:jc w:val="center"/>
            </w:pPr>
            <w:proofErr w:type="spellStart"/>
            <w:r>
              <w:rPr>
                <w:i/>
                <w:iCs/>
              </w:rPr>
              <w:t>tā’oe</w:t>
            </w:r>
            <w:proofErr w:type="spellEnd"/>
          </w:p>
        </w:tc>
      </w:tr>
      <w:tr w:rsidR="004E7E54" w:rsidTr="004E7E54">
        <w:tc>
          <w:tcPr>
            <w:tcW w:w="0" w:type="auto"/>
            <w:shd w:val="clear" w:color="auto" w:fill="99FF33"/>
            <w:vAlign w:val="center"/>
            <w:hideMark/>
          </w:tcPr>
          <w:p w:rsidR="004E7E54" w:rsidRDefault="004E7E54">
            <w:pPr>
              <w:spacing w:before="240" w:after="240"/>
              <w:rPr>
                <w:b/>
                <w:bCs/>
              </w:rPr>
            </w:pPr>
            <w:r>
              <w:rPr>
                <w:b/>
                <w:bCs/>
              </w:rPr>
              <w:t>Tercera persona</w:t>
            </w:r>
          </w:p>
        </w:tc>
        <w:tc>
          <w:tcPr>
            <w:tcW w:w="0" w:type="auto"/>
            <w:shd w:val="clear" w:color="auto" w:fill="F9F9F9"/>
            <w:vAlign w:val="center"/>
            <w:hideMark/>
          </w:tcPr>
          <w:p w:rsidR="004E7E54" w:rsidRDefault="004E7E54">
            <w:pPr>
              <w:spacing w:before="240" w:after="240"/>
              <w:jc w:val="center"/>
            </w:pPr>
            <w:proofErr w:type="spellStart"/>
            <w:r>
              <w:rPr>
                <w:i/>
                <w:iCs/>
              </w:rPr>
              <w:t>tōna</w:t>
            </w:r>
            <w:proofErr w:type="spellEnd"/>
          </w:p>
        </w:tc>
        <w:tc>
          <w:tcPr>
            <w:tcW w:w="0" w:type="auto"/>
            <w:shd w:val="clear" w:color="auto" w:fill="F9F9F9"/>
            <w:vAlign w:val="center"/>
            <w:hideMark/>
          </w:tcPr>
          <w:p w:rsidR="004E7E54" w:rsidRDefault="004E7E54">
            <w:pPr>
              <w:spacing w:before="240" w:after="240"/>
              <w:jc w:val="center"/>
            </w:pPr>
            <w:r>
              <w:rPr>
                <w:i/>
                <w:iCs/>
              </w:rPr>
              <w:t>tana</w:t>
            </w:r>
          </w:p>
        </w:tc>
        <w:tc>
          <w:tcPr>
            <w:tcW w:w="0" w:type="auto"/>
            <w:shd w:val="clear" w:color="auto" w:fill="F9F9F9"/>
            <w:vAlign w:val="center"/>
            <w:hideMark/>
          </w:tcPr>
          <w:p w:rsidR="004E7E54" w:rsidRDefault="004E7E54">
            <w:pPr>
              <w:spacing w:before="240" w:after="240"/>
              <w:jc w:val="center"/>
            </w:pPr>
            <w:proofErr w:type="spellStart"/>
            <w:r>
              <w:rPr>
                <w:i/>
                <w:iCs/>
              </w:rPr>
              <w:t>tāna</w:t>
            </w:r>
            <w:proofErr w:type="spellEnd"/>
          </w:p>
        </w:tc>
      </w:tr>
    </w:tbl>
    <w:p w:rsidR="004E7E54" w:rsidRDefault="004E7E54" w:rsidP="004E7E54">
      <w:pPr>
        <w:pStyle w:val="NormalWeb"/>
      </w:pPr>
      <w:r>
        <w:br w:type="textWrapping" w:clear="all"/>
      </w:r>
    </w:p>
    <w:p w:rsidR="004E7E54" w:rsidRDefault="004E7E54" w:rsidP="004E7E54">
      <w:pPr>
        <w:pStyle w:val="Ttulo4"/>
      </w:pPr>
      <w:r>
        <w:rPr>
          <w:rStyle w:val="mw-headline"/>
        </w:rPr>
        <w:t>Morfología verbal</w:t>
      </w:r>
    </w:p>
    <w:p w:rsidR="004E7E54" w:rsidRDefault="004E7E54" w:rsidP="004E7E54">
      <w:pPr>
        <w:pStyle w:val="NormalWeb"/>
      </w:pPr>
      <w:r>
        <w:t>En tahitiano cualquier palabra se puede convertir en verbo, solamente hay que darle el significado corre</w:t>
      </w:r>
      <w:r>
        <w:t>s</w:t>
      </w:r>
      <w:r>
        <w:t xml:space="preserve">pondiente a partir de los afijos y partículas verbales correspondientes y adecuados. En este caso, se trata de </w:t>
      </w:r>
      <w:proofErr w:type="spellStart"/>
      <w:r>
        <w:t>elmentos</w:t>
      </w:r>
      <w:proofErr w:type="spellEnd"/>
      <w:r>
        <w:t xml:space="preserve"> que indican más el modo y el aspecto de los verbos, más que la indicación del tiempo verbal, que se ha de inferir a menudo del afijo aspectual, del que se puede desprender información temporal, o de la p</w:t>
      </w:r>
      <w:r>
        <w:t>a</w:t>
      </w:r>
      <w:r>
        <w:t>labra correspondiente situada, no dentro del sintagma verbal, sino en un sintagma nominal adyacente al ve</w:t>
      </w:r>
      <w:r>
        <w:t>r</w:t>
      </w:r>
      <w:r>
        <w:t xml:space="preserve">bo. Igualmente, son muy relevantes los </w:t>
      </w:r>
      <w:hyperlink r:id="rId171" w:tooltip="Adverbio" w:history="1">
        <w:r>
          <w:rPr>
            <w:rStyle w:val="Hipervnculo"/>
          </w:rPr>
          <w:t>adverbios</w:t>
        </w:r>
      </w:hyperlink>
      <w:r>
        <w:t>, que pueden dar información temporal o aspectual indi</w:t>
      </w:r>
      <w:r>
        <w:t>s</w:t>
      </w:r>
      <w:r>
        <w:t>pensable para desentrañar el significado de la frase que el verbo no nos ofrece. Por esto los afijos, las part</w:t>
      </w:r>
      <w:r>
        <w:t>í</w:t>
      </w:r>
      <w:r>
        <w:t>culas adyacentes y otras partes de la frase pueden completar o dar forma plena al significado del verbo que, de otra manera, podríamos interpretar de forma errónea o incompleta al carecer de la información que apo</w:t>
      </w:r>
      <w:r>
        <w:t>r</w:t>
      </w:r>
      <w:r>
        <w:t>tan estas partes.</w:t>
      </w:r>
    </w:p>
    <w:p w:rsidR="004E7E54" w:rsidRDefault="004E7E54" w:rsidP="004E7E54">
      <w:pPr>
        <w:pStyle w:val="NormalWeb"/>
      </w:pPr>
      <w:r>
        <w:t>Veamos algunos marcadores modales, aspectuales y temporales del verbo en idioma tahitiano:</w:t>
      </w:r>
    </w:p>
    <w:tbl>
      <w:tblPr>
        <w:tblW w:w="1500" w:type="pct"/>
        <w:tblCellSpacing w:w="15" w:type="dxa"/>
        <w:tblCellMar>
          <w:top w:w="15" w:type="dxa"/>
          <w:left w:w="15" w:type="dxa"/>
          <w:bottom w:w="15" w:type="dxa"/>
          <w:right w:w="15" w:type="dxa"/>
        </w:tblCellMar>
        <w:tblLook w:val="04A0"/>
      </w:tblPr>
      <w:tblGrid>
        <w:gridCol w:w="1156"/>
        <w:gridCol w:w="2011"/>
      </w:tblGrid>
      <w:tr w:rsidR="004E7E54" w:rsidTr="004E7E54">
        <w:trPr>
          <w:tblCellSpacing w:w="15" w:type="dxa"/>
        </w:trPr>
        <w:tc>
          <w:tcPr>
            <w:tcW w:w="0" w:type="auto"/>
            <w:vAlign w:val="center"/>
            <w:hideMark/>
          </w:tcPr>
          <w:p w:rsidR="004E7E54" w:rsidRDefault="004E7E54">
            <w:pPr>
              <w:jc w:val="center"/>
              <w:rPr>
                <w:b/>
                <w:bCs/>
              </w:rPr>
            </w:pPr>
            <w:r>
              <w:rPr>
                <w:b/>
                <w:bCs/>
              </w:rPr>
              <w:t>Marcador</w:t>
            </w:r>
          </w:p>
        </w:tc>
        <w:tc>
          <w:tcPr>
            <w:tcW w:w="0" w:type="auto"/>
            <w:vAlign w:val="center"/>
            <w:hideMark/>
          </w:tcPr>
          <w:p w:rsidR="004E7E54" w:rsidRDefault="004E7E54">
            <w:pPr>
              <w:jc w:val="center"/>
              <w:rPr>
                <w:b/>
                <w:bCs/>
              </w:rPr>
            </w:pPr>
            <w:r>
              <w:rPr>
                <w:b/>
                <w:bCs/>
              </w:rPr>
              <w:t>Significado</w:t>
            </w:r>
          </w:p>
        </w:tc>
      </w:tr>
      <w:tr w:rsidR="004E7E54" w:rsidTr="004E7E54">
        <w:trPr>
          <w:tblCellSpacing w:w="15" w:type="dxa"/>
        </w:trPr>
        <w:tc>
          <w:tcPr>
            <w:tcW w:w="0" w:type="auto"/>
            <w:vAlign w:val="center"/>
            <w:hideMark/>
          </w:tcPr>
          <w:p w:rsidR="004E7E54" w:rsidRDefault="004E7E54">
            <w:pPr>
              <w:jc w:val="center"/>
            </w:pPr>
            <w:r>
              <w:rPr>
                <w:i/>
                <w:iCs/>
              </w:rPr>
              <w:t>’a</w:t>
            </w:r>
          </w:p>
        </w:tc>
        <w:tc>
          <w:tcPr>
            <w:tcW w:w="0" w:type="auto"/>
            <w:vAlign w:val="center"/>
            <w:hideMark/>
          </w:tcPr>
          <w:p w:rsidR="004E7E54" w:rsidRDefault="004E7E54">
            <w:pPr>
              <w:jc w:val="center"/>
            </w:pPr>
            <w:r>
              <w:t>Imperativo</w:t>
            </w:r>
          </w:p>
        </w:tc>
      </w:tr>
      <w:tr w:rsidR="004E7E54" w:rsidTr="004E7E54">
        <w:trPr>
          <w:tblCellSpacing w:w="15" w:type="dxa"/>
        </w:trPr>
        <w:tc>
          <w:tcPr>
            <w:tcW w:w="0" w:type="auto"/>
            <w:vAlign w:val="center"/>
            <w:hideMark/>
          </w:tcPr>
          <w:p w:rsidR="004E7E54" w:rsidRDefault="004E7E54">
            <w:pPr>
              <w:jc w:val="center"/>
            </w:pPr>
            <w:r>
              <w:rPr>
                <w:i/>
                <w:iCs/>
              </w:rPr>
              <w:t>’</w:t>
            </w:r>
            <w:proofErr w:type="spellStart"/>
            <w:r>
              <w:rPr>
                <w:i/>
                <w:iCs/>
              </w:rPr>
              <w:t>ua</w:t>
            </w:r>
            <w:proofErr w:type="spellEnd"/>
          </w:p>
        </w:tc>
        <w:tc>
          <w:tcPr>
            <w:tcW w:w="0" w:type="auto"/>
            <w:vAlign w:val="center"/>
            <w:hideMark/>
          </w:tcPr>
          <w:p w:rsidR="004E7E54" w:rsidRDefault="004E7E54">
            <w:pPr>
              <w:jc w:val="center"/>
            </w:pPr>
            <w:r>
              <w:t>Acción acabada</w:t>
            </w:r>
          </w:p>
        </w:tc>
      </w:tr>
      <w:tr w:rsidR="004E7E54" w:rsidTr="004E7E54">
        <w:trPr>
          <w:tblCellSpacing w:w="15" w:type="dxa"/>
        </w:trPr>
        <w:tc>
          <w:tcPr>
            <w:tcW w:w="0" w:type="auto"/>
            <w:vAlign w:val="center"/>
            <w:hideMark/>
          </w:tcPr>
          <w:p w:rsidR="004E7E54" w:rsidRDefault="004E7E54">
            <w:pPr>
              <w:jc w:val="center"/>
            </w:pPr>
            <w:r>
              <w:rPr>
                <w:i/>
                <w:iCs/>
              </w:rPr>
              <w:t>e</w:t>
            </w:r>
          </w:p>
        </w:tc>
        <w:tc>
          <w:tcPr>
            <w:tcW w:w="0" w:type="auto"/>
            <w:vAlign w:val="center"/>
            <w:hideMark/>
          </w:tcPr>
          <w:p w:rsidR="004E7E54" w:rsidRDefault="004E7E54">
            <w:pPr>
              <w:jc w:val="center"/>
            </w:pPr>
            <w:r>
              <w:t>Acción inacabada</w:t>
            </w:r>
          </w:p>
        </w:tc>
      </w:tr>
      <w:tr w:rsidR="004E7E54" w:rsidTr="004E7E54">
        <w:trPr>
          <w:tblCellSpacing w:w="15" w:type="dxa"/>
        </w:trPr>
        <w:tc>
          <w:tcPr>
            <w:tcW w:w="0" w:type="auto"/>
            <w:vAlign w:val="center"/>
            <w:hideMark/>
          </w:tcPr>
          <w:p w:rsidR="004E7E54" w:rsidRDefault="004E7E54">
            <w:pPr>
              <w:jc w:val="center"/>
            </w:pPr>
            <w:proofErr w:type="spellStart"/>
            <w:r>
              <w:rPr>
                <w:i/>
                <w:iCs/>
              </w:rPr>
              <w:lastRenderedPageBreak/>
              <w:t>tē</w:t>
            </w:r>
            <w:proofErr w:type="spellEnd"/>
            <w:r>
              <w:rPr>
                <w:i/>
                <w:iCs/>
              </w:rPr>
              <w:t xml:space="preserve"> (...</w:t>
            </w:r>
            <w:proofErr w:type="spellStart"/>
            <w:r>
              <w:rPr>
                <w:i/>
                <w:iCs/>
              </w:rPr>
              <w:t>nei</w:t>
            </w:r>
            <w:proofErr w:type="spellEnd"/>
            <w:r>
              <w:rPr>
                <w:i/>
                <w:iCs/>
              </w:rPr>
              <w:t>)</w:t>
            </w:r>
            <w:r>
              <w:rPr>
                <w:i/>
                <w:iCs/>
              </w:rPr>
              <w:br/>
              <w:t>(...</w:t>
            </w:r>
            <w:proofErr w:type="spellStart"/>
            <w:r>
              <w:rPr>
                <w:i/>
                <w:iCs/>
              </w:rPr>
              <w:t>ra</w:t>
            </w:r>
            <w:proofErr w:type="spellEnd"/>
            <w:r>
              <w:rPr>
                <w:i/>
                <w:iCs/>
              </w:rPr>
              <w:t>)</w:t>
            </w:r>
          </w:p>
        </w:tc>
        <w:tc>
          <w:tcPr>
            <w:tcW w:w="0" w:type="auto"/>
            <w:vAlign w:val="center"/>
            <w:hideMark/>
          </w:tcPr>
          <w:p w:rsidR="004E7E54" w:rsidRDefault="004E7E54">
            <w:pPr>
              <w:jc w:val="center"/>
            </w:pPr>
            <w:r>
              <w:t>Progresivo</w:t>
            </w:r>
          </w:p>
        </w:tc>
      </w:tr>
      <w:tr w:rsidR="004E7E54" w:rsidTr="004E7E54">
        <w:trPr>
          <w:tblCellSpacing w:w="15" w:type="dxa"/>
        </w:trPr>
        <w:tc>
          <w:tcPr>
            <w:tcW w:w="0" w:type="auto"/>
            <w:vAlign w:val="center"/>
            <w:hideMark/>
          </w:tcPr>
          <w:p w:rsidR="004E7E54" w:rsidRDefault="004E7E54">
            <w:pPr>
              <w:jc w:val="center"/>
            </w:pPr>
            <w:r>
              <w:rPr>
                <w:i/>
                <w:iCs/>
              </w:rPr>
              <w:t>’</w:t>
            </w:r>
            <w:proofErr w:type="spellStart"/>
            <w:r>
              <w:rPr>
                <w:i/>
                <w:iCs/>
              </w:rPr>
              <w:t>ia</w:t>
            </w:r>
            <w:proofErr w:type="spellEnd"/>
          </w:p>
        </w:tc>
        <w:tc>
          <w:tcPr>
            <w:tcW w:w="0" w:type="auto"/>
            <w:vAlign w:val="center"/>
            <w:hideMark/>
          </w:tcPr>
          <w:p w:rsidR="004E7E54" w:rsidRDefault="004E7E54">
            <w:pPr>
              <w:jc w:val="center"/>
            </w:pPr>
            <w:r>
              <w:t>Desiderativo</w:t>
            </w:r>
          </w:p>
        </w:tc>
      </w:tr>
      <w:tr w:rsidR="004E7E54" w:rsidTr="004E7E54">
        <w:trPr>
          <w:tblCellSpacing w:w="15" w:type="dxa"/>
        </w:trPr>
        <w:tc>
          <w:tcPr>
            <w:tcW w:w="0" w:type="auto"/>
            <w:vAlign w:val="center"/>
            <w:hideMark/>
          </w:tcPr>
          <w:p w:rsidR="004E7E54" w:rsidRDefault="004E7E54">
            <w:pPr>
              <w:jc w:val="center"/>
            </w:pPr>
            <w:r>
              <w:rPr>
                <w:i/>
                <w:iCs/>
              </w:rPr>
              <w:t>i (...</w:t>
            </w:r>
            <w:proofErr w:type="spellStart"/>
            <w:r>
              <w:rPr>
                <w:i/>
                <w:iCs/>
              </w:rPr>
              <w:t>na</w:t>
            </w:r>
            <w:proofErr w:type="spellEnd"/>
            <w:r>
              <w:rPr>
                <w:i/>
                <w:iCs/>
              </w:rPr>
              <w:t>)</w:t>
            </w:r>
          </w:p>
        </w:tc>
        <w:tc>
          <w:tcPr>
            <w:tcW w:w="0" w:type="auto"/>
            <w:vAlign w:val="center"/>
            <w:hideMark/>
          </w:tcPr>
          <w:p w:rsidR="004E7E54" w:rsidRDefault="004E7E54">
            <w:pPr>
              <w:jc w:val="center"/>
            </w:pPr>
            <w:r>
              <w:t>Presente perfecto</w:t>
            </w:r>
          </w:p>
        </w:tc>
      </w:tr>
      <w:tr w:rsidR="004E7E54" w:rsidTr="004E7E54">
        <w:trPr>
          <w:tblCellSpacing w:w="15" w:type="dxa"/>
        </w:trPr>
        <w:tc>
          <w:tcPr>
            <w:tcW w:w="0" w:type="auto"/>
            <w:vAlign w:val="center"/>
            <w:hideMark/>
          </w:tcPr>
          <w:p w:rsidR="004E7E54" w:rsidRDefault="004E7E54">
            <w:pPr>
              <w:jc w:val="center"/>
            </w:pPr>
            <w:proofErr w:type="spellStart"/>
            <w:r>
              <w:rPr>
                <w:i/>
                <w:iCs/>
              </w:rPr>
              <w:t>mai</w:t>
            </w:r>
            <w:proofErr w:type="spellEnd"/>
          </w:p>
        </w:tc>
        <w:tc>
          <w:tcPr>
            <w:tcW w:w="0" w:type="auto"/>
            <w:vAlign w:val="center"/>
            <w:hideMark/>
          </w:tcPr>
          <w:p w:rsidR="004E7E54" w:rsidRDefault="004E7E54">
            <w:pPr>
              <w:jc w:val="center"/>
            </w:pPr>
            <w:proofErr w:type="spellStart"/>
            <w:r>
              <w:t>Indefectivo</w:t>
            </w:r>
            <w:proofErr w:type="spellEnd"/>
          </w:p>
        </w:tc>
      </w:tr>
      <w:tr w:rsidR="004E7E54" w:rsidTr="004E7E54">
        <w:trPr>
          <w:tblCellSpacing w:w="15" w:type="dxa"/>
        </w:trPr>
        <w:tc>
          <w:tcPr>
            <w:tcW w:w="0" w:type="auto"/>
            <w:vAlign w:val="center"/>
            <w:hideMark/>
          </w:tcPr>
          <w:p w:rsidR="004E7E54" w:rsidRDefault="004E7E54">
            <w:pPr>
              <w:jc w:val="center"/>
            </w:pPr>
            <w:proofErr w:type="spellStart"/>
            <w:r>
              <w:rPr>
                <w:i/>
                <w:iCs/>
              </w:rPr>
              <w:t>ana</w:t>
            </w:r>
            <w:proofErr w:type="spellEnd"/>
          </w:p>
        </w:tc>
        <w:tc>
          <w:tcPr>
            <w:tcW w:w="0" w:type="auto"/>
            <w:vAlign w:val="center"/>
            <w:hideMark/>
          </w:tcPr>
          <w:p w:rsidR="004E7E54" w:rsidRDefault="004E7E54">
            <w:pPr>
              <w:jc w:val="center"/>
            </w:pPr>
            <w:r>
              <w:t>Significado gen</w:t>
            </w:r>
            <w:r>
              <w:t>e</w:t>
            </w:r>
            <w:r>
              <w:t>ralista</w:t>
            </w:r>
            <w:r>
              <w:br/>
              <w:t>Puede tener d</w:t>
            </w:r>
            <w:r>
              <w:t>i</w:t>
            </w:r>
            <w:r>
              <w:t>versos signific</w:t>
            </w:r>
            <w:r>
              <w:t>a</w:t>
            </w:r>
            <w:r>
              <w:t>dos</w:t>
            </w:r>
          </w:p>
        </w:tc>
      </w:tr>
      <w:tr w:rsidR="004E7E54" w:rsidTr="004E7E54">
        <w:trPr>
          <w:tblCellSpacing w:w="15" w:type="dxa"/>
        </w:trPr>
        <w:tc>
          <w:tcPr>
            <w:tcW w:w="0" w:type="auto"/>
            <w:vAlign w:val="center"/>
            <w:hideMark/>
          </w:tcPr>
          <w:p w:rsidR="004E7E54" w:rsidRDefault="004E7E54">
            <w:pPr>
              <w:jc w:val="center"/>
            </w:pPr>
            <w:proofErr w:type="spellStart"/>
            <w:r>
              <w:rPr>
                <w:i/>
                <w:iCs/>
              </w:rPr>
              <w:t>ai</w:t>
            </w:r>
            <w:proofErr w:type="spellEnd"/>
          </w:p>
        </w:tc>
        <w:tc>
          <w:tcPr>
            <w:tcW w:w="0" w:type="auto"/>
            <w:vAlign w:val="center"/>
            <w:hideMark/>
          </w:tcPr>
          <w:p w:rsidR="004E7E54" w:rsidRDefault="004E7E54">
            <w:pPr>
              <w:jc w:val="center"/>
            </w:pPr>
            <w:r>
              <w:t>Consecuencia</w:t>
            </w:r>
          </w:p>
        </w:tc>
      </w:tr>
      <w:tr w:rsidR="004E7E54" w:rsidTr="004E7E54">
        <w:trPr>
          <w:tblCellSpacing w:w="15" w:type="dxa"/>
        </w:trPr>
        <w:tc>
          <w:tcPr>
            <w:tcW w:w="0" w:type="auto"/>
            <w:vAlign w:val="center"/>
            <w:hideMark/>
          </w:tcPr>
          <w:p w:rsidR="004E7E54" w:rsidRDefault="004E7E54">
            <w:pPr>
              <w:jc w:val="center"/>
            </w:pPr>
            <w:proofErr w:type="spellStart"/>
            <w:r>
              <w:rPr>
                <w:i/>
                <w:iCs/>
              </w:rPr>
              <w:t>hia</w:t>
            </w:r>
            <w:proofErr w:type="spellEnd"/>
            <w:r>
              <w:rPr>
                <w:i/>
                <w:iCs/>
              </w:rPr>
              <w:t>, a</w:t>
            </w:r>
          </w:p>
        </w:tc>
        <w:tc>
          <w:tcPr>
            <w:tcW w:w="0" w:type="auto"/>
            <w:vAlign w:val="center"/>
            <w:hideMark/>
          </w:tcPr>
          <w:p w:rsidR="004E7E54" w:rsidRDefault="004E7E54">
            <w:pPr>
              <w:jc w:val="center"/>
            </w:pPr>
            <w:r>
              <w:t>Pasiva</w:t>
            </w:r>
          </w:p>
        </w:tc>
      </w:tr>
    </w:tbl>
    <w:p w:rsidR="004E7E54" w:rsidRDefault="004E7E54" w:rsidP="004E7E54">
      <w:pPr>
        <w:pStyle w:val="NormalWeb"/>
      </w:pPr>
      <w:r>
        <w:t>Veamos a continuación un ejemplo que nos muestra la estructura del verbo en tahitiano:</w:t>
      </w:r>
    </w:p>
    <w:p w:rsidR="004E7E54" w:rsidRDefault="004E7E54" w:rsidP="004E7E54">
      <w:pPr>
        <w:widowControl/>
        <w:numPr>
          <w:ilvl w:val="0"/>
          <w:numId w:val="10"/>
        </w:numPr>
        <w:autoSpaceDE/>
        <w:autoSpaceDN/>
        <w:adjustRightInd/>
        <w:spacing w:before="100" w:beforeAutospacing="1" w:after="100" w:afterAutospacing="1"/>
      </w:pPr>
      <w:r>
        <w:rPr>
          <w:i/>
          <w:iCs/>
        </w:rPr>
        <w:t>’</w:t>
      </w:r>
      <w:proofErr w:type="spellStart"/>
      <w:r>
        <w:rPr>
          <w:i/>
          <w:iCs/>
        </w:rPr>
        <w:t>ua</w:t>
      </w:r>
      <w:proofErr w:type="spellEnd"/>
      <w:r>
        <w:rPr>
          <w:i/>
          <w:iCs/>
        </w:rPr>
        <w:t xml:space="preserve"> tae </w:t>
      </w:r>
      <w:proofErr w:type="spellStart"/>
      <w:r>
        <w:rPr>
          <w:i/>
          <w:iCs/>
        </w:rPr>
        <w:t>mai</w:t>
      </w:r>
      <w:proofErr w:type="spellEnd"/>
      <w:r>
        <w:rPr>
          <w:i/>
          <w:iCs/>
        </w:rPr>
        <w:t xml:space="preserve"> te </w:t>
      </w:r>
      <w:proofErr w:type="spellStart"/>
      <w:r>
        <w:rPr>
          <w:i/>
          <w:iCs/>
        </w:rPr>
        <w:t>pahī</w:t>
      </w:r>
      <w:proofErr w:type="spellEnd"/>
      <w:r>
        <w:rPr>
          <w:i/>
          <w:iCs/>
        </w:rPr>
        <w:t xml:space="preserve"> i te hora </w:t>
      </w:r>
      <w:proofErr w:type="spellStart"/>
      <w:r>
        <w:rPr>
          <w:i/>
          <w:iCs/>
        </w:rPr>
        <w:t>piti</w:t>
      </w:r>
      <w:proofErr w:type="spellEnd"/>
      <w:r>
        <w:t xml:space="preserve">: "El barco ha llegado a las dos". </w:t>
      </w:r>
      <w:r>
        <w:rPr>
          <w:i/>
          <w:iCs/>
        </w:rPr>
        <w:t>tae</w:t>
      </w:r>
      <w:r>
        <w:t xml:space="preserve"> es el núcleo verbal, y significa "haber llegado"; </w:t>
      </w:r>
      <w:r>
        <w:rPr>
          <w:i/>
          <w:iCs/>
        </w:rPr>
        <w:t>’</w:t>
      </w:r>
      <w:proofErr w:type="spellStart"/>
      <w:r>
        <w:rPr>
          <w:i/>
          <w:iCs/>
        </w:rPr>
        <w:t>ua</w:t>
      </w:r>
      <w:proofErr w:type="spellEnd"/>
      <w:r>
        <w:t xml:space="preserve"> indica que la acción es acabada (perfecto); y </w:t>
      </w:r>
      <w:proofErr w:type="spellStart"/>
      <w:r>
        <w:rPr>
          <w:i/>
          <w:iCs/>
        </w:rPr>
        <w:t>mai</w:t>
      </w:r>
      <w:proofErr w:type="spellEnd"/>
      <w:r>
        <w:t xml:space="preserve"> indica la proximidad espacial de la acción. </w:t>
      </w:r>
      <w:r>
        <w:rPr>
          <w:i/>
          <w:iCs/>
        </w:rPr>
        <w:t xml:space="preserve">Te </w:t>
      </w:r>
      <w:proofErr w:type="spellStart"/>
      <w:r>
        <w:rPr>
          <w:i/>
          <w:iCs/>
        </w:rPr>
        <w:t>pahī</w:t>
      </w:r>
      <w:proofErr w:type="spellEnd"/>
      <w:r>
        <w:t xml:space="preserve"> es el sintagma nominal "el barco" y </w:t>
      </w:r>
      <w:r>
        <w:rPr>
          <w:i/>
          <w:iCs/>
        </w:rPr>
        <w:t xml:space="preserve">i te hora </w:t>
      </w:r>
      <w:proofErr w:type="spellStart"/>
      <w:r>
        <w:rPr>
          <w:i/>
          <w:iCs/>
        </w:rPr>
        <w:t>piti</w:t>
      </w:r>
      <w:proofErr w:type="spellEnd"/>
      <w:r>
        <w:t xml:space="preserve"> quiere decir textualmente "a la hora dos". Se puede apreciar la precisión que los marcad</w:t>
      </w:r>
      <w:r>
        <w:t>o</w:t>
      </w:r>
      <w:r>
        <w:t>res aportan al núcleo verbal para obtener la precisión aspectual y temporal de la acción que se quiere expresar.</w:t>
      </w:r>
    </w:p>
    <w:p w:rsidR="004E7E54" w:rsidRDefault="004E7E54" w:rsidP="004E7E54">
      <w:pPr>
        <w:pStyle w:val="Ttulo3"/>
      </w:pPr>
      <w:r>
        <w:rPr>
          <w:rStyle w:val="mw-headline"/>
        </w:rPr>
        <w:t>Sintaxis</w:t>
      </w:r>
    </w:p>
    <w:p w:rsidR="004E7E54" w:rsidRDefault="004E7E54" w:rsidP="004E7E54">
      <w:pPr>
        <w:pStyle w:val="NormalWeb"/>
      </w:pPr>
      <w:r>
        <w:t xml:space="preserve">La frase en tahitiano tiene una estructura propia, marcada. El elemento central de la frase lo conforma el verbo con sus marcadores aspectuales y temporales, que se sitúan al principio de la frase; a continuación viene el </w:t>
      </w:r>
      <w:hyperlink r:id="rId172" w:tooltip="Sujeto (gramática)" w:history="1">
        <w:r>
          <w:rPr>
            <w:rStyle w:val="Hipervnculo"/>
          </w:rPr>
          <w:t>sujeto</w:t>
        </w:r>
      </w:hyperlink>
      <w:r>
        <w:t xml:space="preserve"> con sus complementos; finalmente –si el verbo es </w:t>
      </w:r>
      <w:hyperlink r:id="rId173" w:tooltip="Verbo transitivo" w:history="1">
        <w:r>
          <w:rPr>
            <w:rStyle w:val="Hipervnculo"/>
          </w:rPr>
          <w:t>transitivo</w:t>
        </w:r>
      </w:hyperlink>
      <w:r>
        <w:t xml:space="preserve">– viene el </w:t>
      </w:r>
      <w:hyperlink r:id="rId174" w:tooltip="Complemento directo" w:history="1">
        <w:r>
          <w:rPr>
            <w:rStyle w:val="Hipervnculo"/>
          </w:rPr>
          <w:t>complemento directo</w:t>
        </w:r>
      </w:hyperlink>
      <w:r>
        <w:t xml:space="preserve"> u objeto directo. Por tanto el orden de la frase en tahitiano es </w:t>
      </w:r>
      <w:r>
        <w:rPr>
          <w:b/>
          <w:bCs/>
        </w:rPr>
        <w:t>verbo - sujeto - complementos</w:t>
      </w:r>
      <w:r>
        <w:t xml:space="preserve">: </w:t>
      </w:r>
      <w:r>
        <w:rPr>
          <w:i/>
          <w:iCs/>
        </w:rPr>
        <w:t>’</w:t>
      </w:r>
      <w:proofErr w:type="spellStart"/>
      <w:r>
        <w:rPr>
          <w:i/>
          <w:iCs/>
        </w:rPr>
        <w:t>ua</w:t>
      </w:r>
      <w:proofErr w:type="spellEnd"/>
      <w:r>
        <w:rPr>
          <w:i/>
          <w:iCs/>
        </w:rPr>
        <w:t xml:space="preserve"> ’</w:t>
      </w:r>
      <w:proofErr w:type="spellStart"/>
      <w:r>
        <w:rPr>
          <w:i/>
          <w:iCs/>
        </w:rPr>
        <w:t>amu</w:t>
      </w:r>
      <w:proofErr w:type="spellEnd"/>
      <w:r>
        <w:rPr>
          <w:i/>
          <w:iCs/>
        </w:rPr>
        <w:t xml:space="preserve"> ’o Tama i te </w:t>
      </w:r>
      <w:proofErr w:type="spellStart"/>
      <w:r>
        <w:rPr>
          <w:i/>
          <w:iCs/>
        </w:rPr>
        <w:t>i’a</w:t>
      </w:r>
      <w:proofErr w:type="spellEnd"/>
      <w:r>
        <w:t xml:space="preserve"> ("Tama [se] ha comido el pescado"). Nótese que el complemento directo se introduce con la </w:t>
      </w:r>
      <w:hyperlink r:id="rId175" w:tooltip="Preposición" w:history="1">
        <w:r>
          <w:rPr>
            <w:rStyle w:val="Hipervnculo"/>
          </w:rPr>
          <w:t>preposición</w:t>
        </w:r>
      </w:hyperlink>
      <w:r>
        <w:t xml:space="preserve"> </w:t>
      </w:r>
      <w:r>
        <w:rPr>
          <w:i/>
          <w:iCs/>
        </w:rPr>
        <w:t>i</w:t>
      </w:r>
      <w:r>
        <w:t xml:space="preserve">, que indica la presencia del objeto: </w:t>
      </w:r>
      <w:r>
        <w:rPr>
          <w:i/>
          <w:iCs/>
        </w:rPr>
        <w:t>’</w:t>
      </w:r>
      <w:proofErr w:type="spellStart"/>
      <w:r>
        <w:rPr>
          <w:i/>
          <w:iCs/>
        </w:rPr>
        <w:t>ua</w:t>
      </w:r>
      <w:proofErr w:type="spellEnd"/>
      <w:r>
        <w:rPr>
          <w:i/>
          <w:iCs/>
        </w:rPr>
        <w:t xml:space="preserve"> </w:t>
      </w:r>
      <w:proofErr w:type="spellStart"/>
      <w:r>
        <w:rPr>
          <w:i/>
          <w:iCs/>
        </w:rPr>
        <w:t>hopu</w:t>
      </w:r>
      <w:proofErr w:type="spellEnd"/>
      <w:r>
        <w:rPr>
          <w:i/>
          <w:iCs/>
        </w:rPr>
        <w:t xml:space="preserve"> </w:t>
      </w:r>
      <w:proofErr w:type="spellStart"/>
      <w:r>
        <w:rPr>
          <w:i/>
          <w:iCs/>
        </w:rPr>
        <w:t>vau</w:t>
      </w:r>
      <w:proofErr w:type="spellEnd"/>
      <w:r>
        <w:rPr>
          <w:i/>
          <w:iCs/>
        </w:rPr>
        <w:t xml:space="preserve"> i te </w:t>
      </w:r>
      <w:proofErr w:type="spellStart"/>
      <w:r>
        <w:rPr>
          <w:i/>
          <w:iCs/>
        </w:rPr>
        <w:t>miti</w:t>
      </w:r>
      <w:proofErr w:type="spellEnd"/>
      <w:r>
        <w:t xml:space="preserve"> ("yo me he bañado en el mar"). Hay que hacer notar que en esta frase el que sería un </w:t>
      </w:r>
      <w:hyperlink r:id="rId176" w:tooltip="Complemento circunstancial" w:history="1">
        <w:r>
          <w:rPr>
            <w:rStyle w:val="Hipervnculo"/>
          </w:rPr>
          <w:t>complemento circunstancial</w:t>
        </w:r>
      </w:hyperlink>
      <w:r>
        <w:t xml:space="preserve"> de lugar de presencia obligada por el verbo, en tahitiano es un objeto. En cuanto a las construcciones impersonales, también son habituales en tahitiano: </w:t>
      </w:r>
      <w:r>
        <w:rPr>
          <w:i/>
          <w:iCs/>
        </w:rPr>
        <w:t>’</w:t>
      </w:r>
      <w:proofErr w:type="spellStart"/>
      <w:r>
        <w:rPr>
          <w:i/>
          <w:iCs/>
        </w:rPr>
        <w:t>ua</w:t>
      </w:r>
      <w:proofErr w:type="spellEnd"/>
      <w:r>
        <w:rPr>
          <w:i/>
          <w:iCs/>
        </w:rPr>
        <w:t xml:space="preserve"> </w:t>
      </w:r>
      <w:proofErr w:type="spellStart"/>
      <w:r>
        <w:rPr>
          <w:i/>
          <w:iCs/>
        </w:rPr>
        <w:t>ta’ata</w:t>
      </w:r>
      <w:proofErr w:type="spellEnd"/>
      <w:r>
        <w:t xml:space="preserve"> ("hay gente").</w:t>
      </w:r>
    </w:p>
    <w:p w:rsidR="004E7E54" w:rsidRDefault="004E7E54" w:rsidP="004E7E54">
      <w:pPr>
        <w:pStyle w:val="Ttulo2"/>
      </w:pPr>
      <w:r>
        <w:rPr>
          <w:rStyle w:val="mw-headline"/>
        </w:rPr>
        <w:t>Sociolingüística</w:t>
      </w:r>
    </w:p>
    <w:p w:rsidR="004E7E54" w:rsidRDefault="004E7E54" w:rsidP="004E7E54">
      <w:pPr>
        <w:pStyle w:val="NormalWeb"/>
      </w:pPr>
      <w:r>
        <w:t xml:space="preserve">Con la anexión de </w:t>
      </w:r>
      <w:hyperlink r:id="rId177" w:tooltip="Tahití" w:history="1">
        <w:r>
          <w:rPr>
            <w:rStyle w:val="Hipervnculo"/>
          </w:rPr>
          <w:t>Tahití</w:t>
        </w:r>
      </w:hyperlink>
      <w:r>
        <w:t xml:space="preserve"> a </w:t>
      </w:r>
      <w:hyperlink r:id="rId178" w:tooltip="Francia" w:history="1">
        <w:r>
          <w:rPr>
            <w:rStyle w:val="Hipervnculo"/>
          </w:rPr>
          <w:t>Francia</w:t>
        </w:r>
      </w:hyperlink>
      <w:r>
        <w:t xml:space="preserve"> como posesión de ultramar en </w:t>
      </w:r>
      <w:hyperlink r:id="rId179" w:tooltip="1881" w:history="1">
        <w:r>
          <w:rPr>
            <w:rStyle w:val="Hipervnculo"/>
          </w:rPr>
          <w:t>1881</w:t>
        </w:r>
      </w:hyperlink>
      <w:r>
        <w:t>, se inició una aculturación progresiva de la sociedad tahitiana con la llegada de población francesa, la cual traía una lengua y una cultura propias que disfrutaban de un estatuto jurídico y de un prestigio superiores a los que mantenían el tahitiano y la cu</w:t>
      </w:r>
      <w:r>
        <w:t>l</w:t>
      </w:r>
      <w:r>
        <w:t>tura polinesia. Con todo, en las capas populares de la población, la lengua se mantuvo viva. Igualmente, i</w:t>
      </w:r>
      <w:r>
        <w:t>n</w:t>
      </w:r>
      <w:r>
        <w:t>corporó con palabras propias del tahitiano todos aquellos objetos o ideas nuevos que habían llegado con los colonizadores. Con el tiempo, el tahitiano ha sabido adaptarse a las innovaciones tecnológicas y culturales y ha introducido conceptos muy modernos, muchas veces incluso no en forma de préstamos lingüísticos, sino con formas originales del idioma tahitiano, como "cibernauta" (</w:t>
      </w:r>
      <w:r>
        <w:rPr>
          <w:i/>
          <w:iCs/>
        </w:rPr>
        <w:t>’</w:t>
      </w:r>
      <w:proofErr w:type="spellStart"/>
      <w:r>
        <w:rPr>
          <w:i/>
          <w:iCs/>
        </w:rPr>
        <w:t>ainati</w:t>
      </w:r>
      <w:proofErr w:type="spellEnd"/>
      <w:r>
        <w:t>) o "disco compacto" (</w:t>
      </w:r>
      <w:proofErr w:type="spellStart"/>
      <w:r>
        <w:rPr>
          <w:i/>
          <w:iCs/>
        </w:rPr>
        <w:t>Pehenē’i</w:t>
      </w:r>
      <w:proofErr w:type="spellEnd"/>
      <w:r>
        <w:rPr>
          <w:i/>
          <w:iCs/>
        </w:rPr>
        <w:t>).</w:t>
      </w:r>
    </w:p>
    <w:p w:rsidR="004E7E54" w:rsidRDefault="004E7E54" w:rsidP="004E7E54">
      <w:pPr>
        <w:pStyle w:val="NormalWeb"/>
      </w:pPr>
      <w:r>
        <w:t xml:space="preserve">La población de la </w:t>
      </w:r>
      <w:hyperlink r:id="rId180" w:tooltip="Polinesia Francesa" w:history="1">
        <w:r>
          <w:rPr>
            <w:rStyle w:val="Hipervnculo"/>
          </w:rPr>
          <w:t>Polinesia Francesa</w:t>
        </w:r>
      </w:hyperlink>
      <w:r>
        <w:t xml:space="preserve"> es en la actualidad bilingüe, aunque aún hay una pequeña parte de la población que es monolingüe. La dominación colonial francesa en el Pacífico ha sido bastante fuerte y con el acceso a la educación básica de la población, el francés ha conseguido una presencia muy grande en el seno de la sociedad polinesia. Pese a esto, el tahitiano mantiene un grupo de hablantes estable, que supone el 40% de la población, teniendo en cuenta que un 78% de la población es de origen polinesio.</w:t>
      </w:r>
      <w:hyperlink r:id="rId181" w:anchor="cite_note-Factbook-3" w:history="1">
        <w:r>
          <w:rPr>
            <w:rStyle w:val="Hipervnculo"/>
            <w:vertAlign w:val="superscript"/>
          </w:rPr>
          <w:t>3</w:t>
        </w:r>
      </w:hyperlink>
      <w:r>
        <w:t xml:space="preserve"> El francés, como </w:t>
      </w:r>
      <w:proofErr w:type="spellStart"/>
      <w:r>
        <w:rPr>
          <w:i/>
          <w:iCs/>
        </w:rPr>
        <w:t>lingua</w:t>
      </w:r>
      <w:proofErr w:type="spellEnd"/>
      <w:r>
        <w:rPr>
          <w:i/>
          <w:iCs/>
        </w:rPr>
        <w:t xml:space="preserve"> franca</w:t>
      </w:r>
      <w:r>
        <w:t xml:space="preserve"> del territorio (lengua estándar de prestigio) permite la comprensión mutua entre los habitantes de los diferentes archipiélagos e islas de la Polinesia Francesa, ya que cada uno de ellos tiene su propia lengua, como es el caso de las </w:t>
      </w:r>
      <w:hyperlink r:id="rId182" w:tooltip="Islas de la Sociedad" w:history="1">
        <w:r>
          <w:rPr>
            <w:rStyle w:val="Hipervnculo"/>
          </w:rPr>
          <w:t>Islas de la Sociedad</w:t>
        </w:r>
      </w:hyperlink>
      <w:r>
        <w:t xml:space="preserve">, que tiene el tahitiano. Hay que tener en cuenta </w:t>
      </w:r>
      <w:r>
        <w:lastRenderedPageBreak/>
        <w:t xml:space="preserve">que la comprensión entre los hablantes de las diferentes lenguas que componen el </w:t>
      </w:r>
      <w:r>
        <w:rPr>
          <w:i/>
          <w:iCs/>
        </w:rPr>
        <w:t xml:space="preserve">reo </w:t>
      </w:r>
      <w:proofErr w:type="spellStart"/>
      <w:r>
        <w:rPr>
          <w:i/>
          <w:iCs/>
        </w:rPr>
        <w:t>mā’ohi</w:t>
      </w:r>
      <w:proofErr w:type="spellEnd"/>
      <w:r>
        <w:t xml:space="preserve"> es muy baja o mula y el francés facilita las relaciones entre ellos. Igualmente, hay que destacar que el francés que se habla en la Polinesia Francesa no es el mismo que se habla en la propia Francia, pues no deja de ser un dialecto más del francés. Incluso se da el caso de habitantes de las islas que hablan una especie de </w:t>
      </w:r>
      <w:hyperlink r:id="rId183" w:tooltip="Pidgin" w:history="1">
        <w:r>
          <w:rPr>
            <w:rStyle w:val="Hipervnculo"/>
          </w:rPr>
          <w:t>pidgin</w:t>
        </w:r>
      </w:hyperlink>
      <w:r>
        <w:t xml:space="preserve"> con las v</w:t>
      </w:r>
      <w:r>
        <w:t>a</w:t>
      </w:r>
      <w:r>
        <w:t>riantes más pobres del francés y del tahitiano.</w:t>
      </w:r>
    </w:p>
    <w:p w:rsidR="004E7E54" w:rsidRDefault="004E7E54" w:rsidP="004E7E54">
      <w:pPr>
        <w:pStyle w:val="NormalWeb"/>
      </w:pPr>
      <w:r>
        <w:t xml:space="preserve">En los últimos diez años y especialmente a partir de </w:t>
      </w:r>
      <w:hyperlink r:id="rId184" w:tooltip="2004" w:history="1">
        <w:r>
          <w:rPr>
            <w:rStyle w:val="Hipervnculo"/>
          </w:rPr>
          <w:t>2004</w:t>
        </w:r>
      </w:hyperlink>
      <w:r>
        <w:t xml:space="preserve"> con la entrada en vigor de una nueva constitución para la Polinesia Francesa, se han hecho esfuerzos desde la administración, controlada por fuerzas políticas </w:t>
      </w:r>
      <w:proofErr w:type="spellStart"/>
      <w:r>
        <w:t>polinesistas</w:t>
      </w:r>
      <w:proofErr w:type="spellEnd"/>
      <w:r>
        <w:t xml:space="preserve"> e incluso independentistas para que el tahitiano recupere número de hablantes y uso social. Sin embargo, la fuerza adquirida por el francés es grande, estando muy enraizado en la población, aunque se ha evitado la situación que se produce en otras antiguas colonias francesas, donde el francés ha desplazado a las lenguas autóctonas, convirtiéndose en la única lengua. No obstante, el tahitiano no puede competir actua</w:t>
      </w:r>
      <w:r>
        <w:t>l</w:t>
      </w:r>
      <w:r>
        <w:t>mente con el francés como lengua de prestigio en el territorio; más aún, con una ley fundamental que ma</w:t>
      </w:r>
      <w:r>
        <w:t>n</w:t>
      </w:r>
      <w:r>
        <w:t>tiene el francés como lengua oficial de la administración y para asuntos públicos u oficiales y relega al tah</w:t>
      </w:r>
      <w:r>
        <w:t>i</w:t>
      </w:r>
      <w:r>
        <w:t xml:space="preserve">tiano a </w:t>
      </w:r>
      <w:r>
        <w:rPr>
          <w:i/>
          <w:iCs/>
        </w:rPr>
        <w:t>patrimonio cultural y de la isla a conservar</w:t>
      </w:r>
      <w:r>
        <w:t>.</w:t>
      </w:r>
    </w:p>
    <w:p w:rsidR="004E7E54" w:rsidRDefault="004E7E54" w:rsidP="004E7E54">
      <w:pPr>
        <w:pStyle w:val="NormalWeb"/>
      </w:pPr>
      <w:r>
        <w:t xml:space="preserve">En esta línea de recuperación del tahitiano frente al francés, el gobierno de la Polinesia Francesa ha estado trabajando desde el </w:t>
      </w:r>
      <w:hyperlink r:id="rId185" w:tooltip="2004" w:history="1">
        <w:r>
          <w:rPr>
            <w:rStyle w:val="Hipervnculo"/>
          </w:rPr>
          <w:t>2004</w:t>
        </w:r>
      </w:hyperlink>
      <w:r>
        <w:t xml:space="preserve"> en un proyecto de inmersión lingüística para las etapas de enseñanza de primaria y de secundaria. Sin dejar de estar dentro de la legalidad, que da al francés la consideración de lengua oficial en solitario en la vida pública de la Polinesia Francesa, se han organizado cursos de tahitiano para niños y adolescentes en sus respectivos niveles educativos,</w:t>
      </w:r>
      <w:hyperlink r:id="rId186" w:anchor="cite_note-Educaci.C3.B3-4" w:history="1">
        <w:r>
          <w:rPr>
            <w:rStyle w:val="Hipervnculo"/>
            <w:vertAlign w:val="superscript"/>
          </w:rPr>
          <w:t>4</w:t>
        </w:r>
      </w:hyperlink>
      <w:r>
        <w:t xml:space="preserve"> aunque la lengua vehicular en los </w:t>
      </w:r>
      <w:proofErr w:type="spellStart"/>
      <w:r>
        <w:t>estucios</w:t>
      </w:r>
      <w:proofErr w:type="spellEnd"/>
      <w:r>
        <w:t xml:space="preserve"> continúa siendo, por ley y por costumbre, el francés. En cuanto a la universidad, en la </w:t>
      </w:r>
      <w:hyperlink r:id="rId187" w:tooltip="Universidad de la Polinesia Francesa (aún no redactado)" w:history="1">
        <w:r>
          <w:rPr>
            <w:rStyle w:val="Hipervnculo"/>
          </w:rPr>
          <w:t>Universidad de la Polinesia Francesa</w:t>
        </w:r>
      </w:hyperlink>
      <w:r>
        <w:t xml:space="preserve"> hay estudios superiores relacionados con la lengua y la cultura polinesias, pese a que no existe una licenciatura de "filología tahitiana" como tal. La universidad ofrece cursos de tahitiano oficiales a profesi</w:t>
      </w:r>
      <w:r>
        <w:t>o</w:t>
      </w:r>
      <w:r>
        <w:t>nales de la educación y de los medios de comunicación, con tres niveles de conocimiento y dominio de la lengua. Sin embargo y pese a toda esta línea de política lingüística, los habitantes de la Polinesia hacen un uso restringido del tahitiano, que utilizan para las relaciones familiares, de amigos o en círculos íntimos. El francés, por consiguiente, permanece como la lengua de prestigio, la lengua de las relaciones públicas.</w:t>
      </w:r>
    </w:p>
    <w:p w:rsidR="004E7E54" w:rsidRDefault="004E7E54" w:rsidP="004E7E54">
      <w:pPr>
        <w:pStyle w:val="NormalWeb"/>
      </w:pPr>
      <w:r>
        <w:t xml:space="preserve">En cuanto a los medios de comunicación, la presencia del tahitiano ha aumentado sensiblemente y se puede encontrar un par de diarios íntegramente publicados en tahitiano. En las emisiones radiofónicas, se pueden sintonizar diversas emisoras que emiten en este idioma. Sin embargo, la presencia es menor en la televisión, si bien el nacimiento de la </w:t>
      </w:r>
      <w:proofErr w:type="spellStart"/>
      <w:r>
        <w:rPr>
          <w:i/>
          <w:iCs/>
        </w:rPr>
        <w:t>Tahiti</w:t>
      </w:r>
      <w:proofErr w:type="spellEnd"/>
      <w:r>
        <w:rPr>
          <w:i/>
          <w:iCs/>
        </w:rPr>
        <w:t xml:space="preserve"> </w:t>
      </w:r>
      <w:proofErr w:type="spellStart"/>
      <w:r>
        <w:rPr>
          <w:i/>
          <w:iCs/>
        </w:rPr>
        <w:t>Nui</w:t>
      </w:r>
      <w:proofErr w:type="spellEnd"/>
      <w:r>
        <w:rPr>
          <w:i/>
          <w:iCs/>
        </w:rPr>
        <w:t xml:space="preserve"> </w:t>
      </w:r>
      <w:proofErr w:type="spellStart"/>
      <w:r>
        <w:rPr>
          <w:i/>
          <w:iCs/>
        </w:rPr>
        <w:t>Télévision</w:t>
      </w:r>
      <w:proofErr w:type="spellEnd"/>
      <w:r>
        <w:t xml:space="preserve"> ha hecho que dicha presencia aumente, ya que la program</w:t>
      </w:r>
      <w:r>
        <w:t>a</w:t>
      </w:r>
      <w:r>
        <w:t>ción de esta cadena o es bilingüe o íntegramente en tahitiano.</w:t>
      </w:r>
    </w:p>
    <w:p w:rsidR="004E7E54" w:rsidRDefault="004E7E54" w:rsidP="004E7E54">
      <w:pPr>
        <w:pStyle w:val="Ttulo2"/>
      </w:pPr>
      <w:r>
        <w:rPr>
          <w:rStyle w:val="mw-headline"/>
        </w:rPr>
        <w:t>Expresiones básicas</w:t>
      </w:r>
    </w:p>
    <w:p w:rsidR="004E7E54" w:rsidRDefault="004E7E54" w:rsidP="004E7E54">
      <w:pPr>
        <w:pStyle w:val="NormalWeb"/>
      </w:pPr>
      <w:r>
        <w:t>En este apartado se ofrecen ejemplos de algunas de las expresiones más comunes en tahitiano para una co</w:t>
      </w:r>
      <w:r>
        <w:t>n</w:t>
      </w:r>
      <w:r>
        <w:t>versación básica con un hablante de esta lengua:</w:t>
      </w:r>
    </w:p>
    <w:tbl>
      <w:tblPr>
        <w:tblW w:w="1500" w:type="pct"/>
        <w:tblCellSpacing w:w="15" w:type="dxa"/>
        <w:tblCellMar>
          <w:top w:w="15" w:type="dxa"/>
          <w:left w:w="15" w:type="dxa"/>
          <w:bottom w:w="15" w:type="dxa"/>
          <w:right w:w="15" w:type="dxa"/>
        </w:tblCellMar>
        <w:tblLook w:val="04A0"/>
      </w:tblPr>
      <w:tblGrid>
        <w:gridCol w:w="1683"/>
        <w:gridCol w:w="1484"/>
      </w:tblGrid>
      <w:tr w:rsidR="004E7E54" w:rsidTr="004E7E54">
        <w:trPr>
          <w:tblCellSpacing w:w="15" w:type="dxa"/>
        </w:trPr>
        <w:tc>
          <w:tcPr>
            <w:tcW w:w="0" w:type="auto"/>
            <w:vAlign w:val="center"/>
            <w:hideMark/>
          </w:tcPr>
          <w:p w:rsidR="004E7E54" w:rsidRDefault="004E7E54">
            <w:pPr>
              <w:jc w:val="center"/>
              <w:rPr>
                <w:b/>
                <w:bCs/>
              </w:rPr>
            </w:pPr>
            <w:r>
              <w:rPr>
                <w:b/>
                <w:bCs/>
              </w:rPr>
              <w:t>Castellano</w:t>
            </w:r>
          </w:p>
        </w:tc>
        <w:tc>
          <w:tcPr>
            <w:tcW w:w="0" w:type="auto"/>
            <w:vAlign w:val="center"/>
            <w:hideMark/>
          </w:tcPr>
          <w:p w:rsidR="004E7E54" w:rsidRDefault="004E7E54">
            <w:pPr>
              <w:jc w:val="center"/>
              <w:rPr>
                <w:b/>
                <w:bCs/>
              </w:rPr>
            </w:pPr>
            <w:r>
              <w:rPr>
                <w:b/>
                <w:bCs/>
              </w:rPr>
              <w:t>Tahitiano</w:t>
            </w:r>
          </w:p>
        </w:tc>
      </w:tr>
      <w:tr w:rsidR="004E7E54" w:rsidTr="004E7E54">
        <w:trPr>
          <w:tblCellSpacing w:w="15" w:type="dxa"/>
        </w:trPr>
        <w:tc>
          <w:tcPr>
            <w:tcW w:w="0" w:type="auto"/>
            <w:vAlign w:val="center"/>
            <w:hideMark/>
          </w:tcPr>
          <w:p w:rsidR="004E7E54" w:rsidRDefault="004E7E54">
            <w:pPr>
              <w:jc w:val="center"/>
            </w:pPr>
            <w:r>
              <w:t>Bienvenido</w:t>
            </w:r>
          </w:p>
        </w:tc>
        <w:tc>
          <w:tcPr>
            <w:tcW w:w="0" w:type="auto"/>
            <w:vAlign w:val="center"/>
            <w:hideMark/>
          </w:tcPr>
          <w:p w:rsidR="004E7E54" w:rsidRDefault="004E7E54">
            <w:pPr>
              <w:jc w:val="center"/>
            </w:pPr>
            <w:proofErr w:type="spellStart"/>
            <w:r>
              <w:rPr>
                <w:i/>
                <w:iCs/>
              </w:rPr>
              <w:t>Maeva</w:t>
            </w:r>
            <w:proofErr w:type="spellEnd"/>
          </w:p>
        </w:tc>
      </w:tr>
      <w:tr w:rsidR="004E7E54" w:rsidTr="004E7E54">
        <w:trPr>
          <w:tblCellSpacing w:w="15" w:type="dxa"/>
        </w:trPr>
        <w:tc>
          <w:tcPr>
            <w:tcW w:w="0" w:type="auto"/>
            <w:vAlign w:val="center"/>
            <w:hideMark/>
          </w:tcPr>
          <w:p w:rsidR="004E7E54" w:rsidRDefault="004E7E54">
            <w:pPr>
              <w:jc w:val="center"/>
            </w:pPr>
            <w:r>
              <w:t>Buenos días, hola</w:t>
            </w:r>
          </w:p>
        </w:tc>
        <w:tc>
          <w:tcPr>
            <w:tcW w:w="0" w:type="auto"/>
            <w:vAlign w:val="center"/>
            <w:hideMark/>
          </w:tcPr>
          <w:p w:rsidR="004E7E54" w:rsidRDefault="004E7E54">
            <w:pPr>
              <w:jc w:val="center"/>
            </w:pPr>
            <w:r>
              <w:rPr>
                <w:i/>
                <w:iCs/>
              </w:rPr>
              <w:t>’</w:t>
            </w:r>
            <w:proofErr w:type="spellStart"/>
            <w:r>
              <w:rPr>
                <w:i/>
                <w:iCs/>
              </w:rPr>
              <w:t>Ia</w:t>
            </w:r>
            <w:proofErr w:type="spellEnd"/>
            <w:r>
              <w:rPr>
                <w:i/>
                <w:iCs/>
              </w:rPr>
              <w:t xml:space="preserve"> ora </w:t>
            </w:r>
            <w:proofErr w:type="spellStart"/>
            <w:r>
              <w:rPr>
                <w:i/>
                <w:iCs/>
              </w:rPr>
              <w:t>na</w:t>
            </w:r>
            <w:proofErr w:type="spellEnd"/>
            <w:r>
              <w:rPr>
                <w:i/>
                <w:iCs/>
              </w:rPr>
              <w:t xml:space="preserve"> ’</w:t>
            </w:r>
            <w:proofErr w:type="spellStart"/>
            <w:r>
              <w:rPr>
                <w:i/>
                <w:iCs/>
              </w:rPr>
              <w:t>oe</w:t>
            </w:r>
            <w:proofErr w:type="spellEnd"/>
          </w:p>
        </w:tc>
      </w:tr>
      <w:tr w:rsidR="004E7E54" w:rsidTr="004E7E54">
        <w:trPr>
          <w:tblCellSpacing w:w="15" w:type="dxa"/>
        </w:trPr>
        <w:tc>
          <w:tcPr>
            <w:tcW w:w="0" w:type="auto"/>
            <w:vAlign w:val="center"/>
            <w:hideMark/>
          </w:tcPr>
          <w:p w:rsidR="004E7E54" w:rsidRDefault="004E7E54">
            <w:pPr>
              <w:jc w:val="center"/>
            </w:pPr>
            <w:r>
              <w:t>Adiós</w:t>
            </w:r>
          </w:p>
        </w:tc>
        <w:tc>
          <w:tcPr>
            <w:tcW w:w="0" w:type="auto"/>
            <w:vAlign w:val="center"/>
            <w:hideMark/>
          </w:tcPr>
          <w:p w:rsidR="004E7E54" w:rsidRDefault="004E7E54">
            <w:pPr>
              <w:jc w:val="center"/>
            </w:pPr>
            <w:proofErr w:type="spellStart"/>
            <w:r>
              <w:rPr>
                <w:i/>
                <w:iCs/>
              </w:rPr>
              <w:t>Pārahi</w:t>
            </w:r>
            <w:proofErr w:type="spellEnd"/>
          </w:p>
        </w:tc>
      </w:tr>
      <w:tr w:rsidR="004E7E54" w:rsidTr="004E7E54">
        <w:trPr>
          <w:tblCellSpacing w:w="15" w:type="dxa"/>
        </w:trPr>
        <w:tc>
          <w:tcPr>
            <w:tcW w:w="0" w:type="auto"/>
            <w:vAlign w:val="center"/>
            <w:hideMark/>
          </w:tcPr>
          <w:p w:rsidR="004E7E54" w:rsidRDefault="004E7E54">
            <w:pPr>
              <w:jc w:val="center"/>
            </w:pPr>
            <w:r>
              <w:t>Gracias</w:t>
            </w:r>
          </w:p>
        </w:tc>
        <w:tc>
          <w:tcPr>
            <w:tcW w:w="0" w:type="auto"/>
            <w:vAlign w:val="center"/>
            <w:hideMark/>
          </w:tcPr>
          <w:p w:rsidR="004E7E54" w:rsidRDefault="004E7E54">
            <w:pPr>
              <w:jc w:val="center"/>
            </w:pPr>
            <w:proofErr w:type="spellStart"/>
            <w:r>
              <w:rPr>
                <w:i/>
                <w:iCs/>
              </w:rPr>
              <w:t>Māuruuru</w:t>
            </w:r>
            <w:proofErr w:type="spellEnd"/>
          </w:p>
        </w:tc>
      </w:tr>
      <w:tr w:rsidR="004E7E54" w:rsidTr="004E7E54">
        <w:trPr>
          <w:tblCellSpacing w:w="15" w:type="dxa"/>
        </w:trPr>
        <w:tc>
          <w:tcPr>
            <w:tcW w:w="0" w:type="auto"/>
            <w:vAlign w:val="center"/>
            <w:hideMark/>
          </w:tcPr>
          <w:p w:rsidR="004E7E54" w:rsidRDefault="004E7E54">
            <w:pPr>
              <w:jc w:val="center"/>
            </w:pPr>
            <w:r>
              <w:t>Sí</w:t>
            </w:r>
          </w:p>
        </w:tc>
        <w:tc>
          <w:tcPr>
            <w:tcW w:w="0" w:type="auto"/>
            <w:vAlign w:val="center"/>
            <w:hideMark/>
          </w:tcPr>
          <w:p w:rsidR="004E7E54" w:rsidRDefault="004E7E54">
            <w:pPr>
              <w:jc w:val="center"/>
            </w:pPr>
            <w:r>
              <w:rPr>
                <w:i/>
                <w:iCs/>
              </w:rPr>
              <w:t>’ē, ’</w:t>
            </w:r>
            <w:proofErr w:type="spellStart"/>
            <w:r>
              <w:rPr>
                <w:i/>
                <w:iCs/>
              </w:rPr>
              <w:t>ae</w:t>
            </w:r>
            <w:proofErr w:type="spellEnd"/>
          </w:p>
        </w:tc>
      </w:tr>
      <w:tr w:rsidR="004E7E54" w:rsidTr="004E7E54">
        <w:trPr>
          <w:tblCellSpacing w:w="15" w:type="dxa"/>
        </w:trPr>
        <w:tc>
          <w:tcPr>
            <w:tcW w:w="0" w:type="auto"/>
            <w:vAlign w:val="center"/>
            <w:hideMark/>
          </w:tcPr>
          <w:p w:rsidR="004E7E54" w:rsidRDefault="004E7E54">
            <w:pPr>
              <w:jc w:val="center"/>
            </w:pPr>
            <w:r>
              <w:t>No</w:t>
            </w:r>
          </w:p>
        </w:tc>
        <w:tc>
          <w:tcPr>
            <w:tcW w:w="0" w:type="auto"/>
            <w:vAlign w:val="center"/>
            <w:hideMark/>
          </w:tcPr>
          <w:p w:rsidR="004E7E54" w:rsidRDefault="004E7E54">
            <w:pPr>
              <w:jc w:val="center"/>
            </w:pPr>
            <w:r>
              <w:rPr>
                <w:i/>
                <w:iCs/>
              </w:rPr>
              <w:t xml:space="preserve">’aita, </w:t>
            </w:r>
            <w:proofErr w:type="spellStart"/>
            <w:r>
              <w:rPr>
                <w:i/>
                <w:iCs/>
              </w:rPr>
              <w:t>e’ita</w:t>
            </w:r>
            <w:proofErr w:type="spellEnd"/>
            <w:r>
              <w:rPr>
                <w:i/>
                <w:iCs/>
              </w:rPr>
              <w:t xml:space="preserve">, </w:t>
            </w:r>
            <w:proofErr w:type="spellStart"/>
            <w:r>
              <w:rPr>
                <w:i/>
                <w:iCs/>
              </w:rPr>
              <w:t>e’ere</w:t>
            </w:r>
            <w:proofErr w:type="spellEnd"/>
          </w:p>
        </w:tc>
      </w:tr>
      <w:tr w:rsidR="004E7E54" w:rsidTr="004E7E54">
        <w:trPr>
          <w:tblCellSpacing w:w="15" w:type="dxa"/>
        </w:trPr>
        <w:tc>
          <w:tcPr>
            <w:tcW w:w="0" w:type="auto"/>
            <w:vAlign w:val="center"/>
            <w:hideMark/>
          </w:tcPr>
          <w:p w:rsidR="004E7E54" w:rsidRDefault="004E7E54">
            <w:pPr>
              <w:jc w:val="center"/>
            </w:pPr>
            <w:r>
              <w:t>Todo bien, bien</w:t>
            </w:r>
          </w:p>
        </w:tc>
        <w:tc>
          <w:tcPr>
            <w:tcW w:w="0" w:type="auto"/>
            <w:vAlign w:val="center"/>
            <w:hideMark/>
          </w:tcPr>
          <w:p w:rsidR="004E7E54" w:rsidRDefault="004E7E54">
            <w:pPr>
              <w:jc w:val="center"/>
            </w:pPr>
            <w:proofErr w:type="spellStart"/>
            <w:r>
              <w:rPr>
                <w:i/>
                <w:iCs/>
              </w:rPr>
              <w:t>Maita’i</w:t>
            </w:r>
            <w:proofErr w:type="spellEnd"/>
          </w:p>
        </w:tc>
      </w:tr>
      <w:tr w:rsidR="004E7E54" w:rsidTr="004E7E54">
        <w:trPr>
          <w:tblCellSpacing w:w="15" w:type="dxa"/>
        </w:trPr>
        <w:tc>
          <w:tcPr>
            <w:tcW w:w="0" w:type="auto"/>
            <w:vAlign w:val="center"/>
            <w:hideMark/>
          </w:tcPr>
          <w:p w:rsidR="004E7E54" w:rsidRDefault="004E7E54">
            <w:pPr>
              <w:jc w:val="center"/>
            </w:pPr>
            <w:r>
              <w:t>Casa, habit</w:t>
            </w:r>
            <w:r>
              <w:t>a</w:t>
            </w:r>
            <w:r>
              <w:t>ción</w:t>
            </w:r>
          </w:p>
        </w:tc>
        <w:tc>
          <w:tcPr>
            <w:tcW w:w="0" w:type="auto"/>
            <w:vAlign w:val="center"/>
            <w:hideMark/>
          </w:tcPr>
          <w:p w:rsidR="004E7E54" w:rsidRDefault="004E7E54">
            <w:pPr>
              <w:jc w:val="center"/>
            </w:pPr>
            <w:proofErr w:type="spellStart"/>
            <w:r>
              <w:rPr>
                <w:i/>
                <w:iCs/>
              </w:rPr>
              <w:t>Fare</w:t>
            </w:r>
            <w:proofErr w:type="spellEnd"/>
          </w:p>
        </w:tc>
      </w:tr>
      <w:tr w:rsidR="004E7E54" w:rsidTr="004E7E54">
        <w:trPr>
          <w:tblCellSpacing w:w="15" w:type="dxa"/>
        </w:trPr>
        <w:tc>
          <w:tcPr>
            <w:tcW w:w="0" w:type="auto"/>
            <w:vAlign w:val="center"/>
            <w:hideMark/>
          </w:tcPr>
          <w:p w:rsidR="004E7E54" w:rsidRDefault="004E7E54">
            <w:pPr>
              <w:jc w:val="center"/>
            </w:pPr>
            <w:r>
              <w:lastRenderedPageBreak/>
              <w:t>Extranjero blanco</w:t>
            </w:r>
          </w:p>
        </w:tc>
        <w:tc>
          <w:tcPr>
            <w:tcW w:w="0" w:type="auto"/>
            <w:vAlign w:val="center"/>
            <w:hideMark/>
          </w:tcPr>
          <w:p w:rsidR="004E7E54" w:rsidRDefault="004E7E54">
            <w:pPr>
              <w:jc w:val="center"/>
            </w:pPr>
            <w:proofErr w:type="spellStart"/>
            <w:r>
              <w:rPr>
                <w:i/>
                <w:iCs/>
              </w:rPr>
              <w:t>Popa’ā</w:t>
            </w:r>
            <w:proofErr w:type="spellEnd"/>
          </w:p>
        </w:tc>
      </w:tr>
    </w:tbl>
    <w:p w:rsidR="004E7E54" w:rsidRDefault="004E7E54" w:rsidP="004E7E54">
      <w:pPr>
        <w:rPr>
          <w:vanish/>
        </w:rPr>
      </w:pPr>
    </w:p>
    <w:tbl>
      <w:tblPr>
        <w:tblW w:w="0" w:type="auto"/>
        <w:tblCellSpacing w:w="15" w:type="dxa"/>
        <w:tblCellMar>
          <w:top w:w="15" w:type="dxa"/>
          <w:left w:w="15" w:type="dxa"/>
          <w:bottom w:w="15" w:type="dxa"/>
          <w:right w:w="15" w:type="dxa"/>
        </w:tblCellMar>
        <w:tblLook w:val="04A0"/>
      </w:tblPr>
      <w:tblGrid>
        <w:gridCol w:w="1050"/>
        <w:gridCol w:w="367"/>
        <w:gridCol w:w="474"/>
        <w:gridCol w:w="661"/>
        <w:gridCol w:w="461"/>
        <w:gridCol w:w="461"/>
        <w:gridCol w:w="447"/>
        <w:gridCol w:w="501"/>
        <w:gridCol w:w="367"/>
        <w:gridCol w:w="1263"/>
      </w:tblGrid>
      <w:tr w:rsidR="004E7E54" w:rsidTr="004E7E54">
        <w:trPr>
          <w:tblCellSpacing w:w="15" w:type="dxa"/>
        </w:trPr>
        <w:tc>
          <w:tcPr>
            <w:tcW w:w="0" w:type="auto"/>
            <w:gridSpan w:val="10"/>
            <w:vAlign w:val="center"/>
            <w:hideMark/>
          </w:tcPr>
          <w:p w:rsidR="004E7E54" w:rsidRDefault="004E7E54">
            <w:pPr>
              <w:jc w:val="center"/>
              <w:rPr>
                <w:b/>
                <w:bCs/>
              </w:rPr>
            </w:pPr>
            <w:r>
              <w:rPr>
                <w:b/>
                <w:bCs/>
              </w:rPr>
              <w:t>Los números</w:t>
            </w:r>
          </w:p>
        </w:tc>
      </w:tr>
      <w:tr w:rsidR="004E7E54" w:rsidTr="004E7E54">
        <w:trPr>
          <w:tblCellSpacing w:w="15" w:type="dxa"/>
        </w:trPr>
        <w:tc>
          <w:tcPr>
            <w:tcW w:w="0" w:type="auto"/>
            <w:vAlign w:val="center"/>
            <w:hideMark/>
          </w:tcPr>
          <w:p w:rsidR="004E7E54" w:rsidRDefault="004E7E54">
            <w:pPr>
              <w:jc w:val="center"/>
              <w:rPr>
                <w:b/>
                <w:bCs/>
              </w:rPr>
            </w:pPr>
            <w:r>
              <w:rPr>
                <w:b/>
                <w:bCs/>
              </w:rPr>
              <w:t>1</w:t>
            </w:r>
          </w:p>
        </w:tc>
        <w:tc>
          <w:tcPr>
            <w:tcW w:w="0" w:type="auto"/>
            <w:vAlign w:val="center"/>
            <w:hideMark/>
          </w:tcPr>
          <w:p w:rsidR="004E7E54" w:rsidRDefault="004E7E54">
            <w:pPr>
              <w:jc w:val="center"/>
              <w:rPr>
                <w:b/>
                <w:bCs/>
              </w:rPr>
            </w:pPr>
            <w:r>
              <w:rPr>
                <w:b/>
                <w:bCs/>
              </w:rPr>
              <w:t>2</w:t>
            </w:r>
          </w:p>
        </w:tc>
        <w:tc>
          <w:tcPr>
            <w:tcW w:w="0" w:type="auto"/>
            <w:vAlign w:val="center"/>
            <w:hideMark/>
          </w:tcPr>
          <w:p w:rsidR="004E7E54" w:rsidRDefault="004E7E54">
            <w:pPr>
              <w:jc w:val="center"/>
              <w:rPr>
                <w:b/>
                <w:bCs/>
              </w:rPr>
            </w:pPr>
            <w:r>
              <w:rPr>
                <w:b/>
                <w:bCs/>
              </w:rPr>
              <w:t>3</w:t>
            </w:r>
          </w:p>
        </w:tc>
        <w:tc>
          <w:tcPr>
            <w:tcW w:w="0" w:type="auto"/>
            <w:vAlign w:val="center"/>
            <w:hideMark/>
          </w:tcPr>
          <w:p w:rsidR="004E7E54" w:rsidRDefault="004E7E54">
            <w:pPr>
              <w:jc w:val="center"/>
              <w:rPr>
                <w:b/>
                <w:bCs/>
              </w:rPr>
            </w:pPr>
            <w:r>
              <w:rPr>
                <w:b/>
                <w:bCs/>
              </w:rPr>
              <w:t>4</w:t>
            </w:r>
          </w:p>
        </w:tc>
        <w:tc>
          <w:tcPr>
            <w:tcW w:w="0" w:type="auto"/>
            <w:vAlign w:val="center"/>
            <w:hideMark/>
          </w:tcPr>
          <w:p w:rsidR="004E7E54" w:rsidRDefault="004E7E54">
            <w:pPr>
              <w:jc w:val="center"/>
              <w:rPr>
                <w:b/>
                <w:bCs/>
              </w:rPr>
            </w:pPr>
            <w:r>
              <w:rPr>
                <w:b/>
                <w:bCs/>
              </w:rPr>
              <w:t>5</w:t>
            </w:r>
          </w:p>
        </w:tc>
        <w:tc>
          <w:tcPr>
            <w:tcW w:w="0" w:type="auto"/>
            <w:vAlign w:val="center"/>
            <w:hideMark/>
          </w:tcPr>
          <w:p w:rsidR="004E7E54" w:rsidRDefault="004E7E54">
            <w:pPr>
              <w:jc w:val="center"/>
              <w:rPr>
                <w:b/>
                <w:bCs/>
              </w:rPr>
            </w:pPr>
            <w:r>
              <w:rPr>
                <w:b/>
                <w:bCs/>
              </w:rPr>
              <w:t>6</w:t>
            </w:r>
          </w:p>
        </w:tc>
        <w:tc>
          <w:tcPr>
            <w:tcW w:w="0" w:type="auto"/>
            <w:vAlign w:val="center"/>
            <w:hideMark/>
          </w:tcPr>
          <w:p w:rsidR="004E7E54" w:rsidRDefault="004E7E54">
            <w:pPr>
              <w:jc w:val="center"/>
              <w:rPr>
                <w:b/>
                <w:bCs/>
              </w:rPr>
            </w:pPr>
            <w:r>
              <w:rPr>
                <w:b/>
                <w:bCs/>
              </w:rPr>
              <w:t>7</w:t>
            </w:r>
          </w:p>
        </w:tc>
        <w:tc>
          <w:tcPr>
            <w:tcW w:w="0" w:type="auto"/>
            <w:vAlign w:val="center"/>
            <w:hideMark/>
          </w:tcPr>
          <w:p w:rsidR="004E7E54" w:rsidRDefault="004E7E54">
            <w:pPr>
              <w:jc w:val="center"/>
              <w:rPr>
                <w:b/>
                <w:bCs/>
              </w:rPr>
            </w:pPr>
            <w:r>
              <w:rPr>
                <w:b/>
                <w:bCs/>
              </w:rPr>
              <w:t>8</w:t>
            </w:r>
          </w:p>
        </w:tc>
        <w:tc>
          <w:tcPr>
            <w:tcW w:w="0" w:type="auto"/>
            <w:vAlign w:val="center"/>
            <w:hideMark/>
          </w:tcPr>
          <w:p w:rsidR="004E7E54" w:rsidRDefault="004E7E54">
            <w:pPr>
              <w:jc w:val="center"/>
              <w:rPr>
                <w:b/>
                <w:bCs/>
              </w:rPr>
            </w:pPr>
            <w:r>
              <w:rPr>
                <w:b/>
                <w:bCs/>
              </w:rPr>
              <w:t>9</w:t>
            </w:r>
          </w:p>
        </w:tc>
        <w:tc>
          <w:tcPr>
            <w:tcW w:w="0" w:type="auto"/>
            <w:vAlign w:val="center"/>
            <w:hideMark/>
          </w:tcPr>
          <w:p w:rsidR="004E7E54" w:rsidRDefault="004E7E54">
            <w:pPr>
              <w:jc w:val="center"/>
              <w:rPr>
                <w:b/>
                <w:bCs/>
              </w:rPr>
            </w:pPr>
            <w:r>
              <w:rPr>
                <w:b/>
                <w:bCs/>
              </w:rPr>
              <w:t>10</w:t>
            </w:r>
          </w:p>
        </w:tc>
      </w:tr>
      <w:tr w:rsidR="004E7E54" w:rsidTr="004E7E54">
        <w:trPr>
          <w:tblCellSpacing w:w="15" w:type="dxa"/>
        </w:trPr>
        <w:tc>
          <w:tcPr>
            <w:tcW w:w="0" w:type="auto"/>
            <w:vAlign w:val="center"/>
            <w:hideMark/>
          </w:tcPr>
          <w:p w:rsidR="004E7E54" w:rsidRDefault="004E7E54">
            <w:proofErr w:type="spellStart"/>
            <w:r>
              <w:t>tahi</w:t>
            </w:r>
            <w:proofErr w:type="spellEnd"/>
            <w:r>
              <w:t xml:space="preserve">, </w:t>
            </w:r>
            <w:proofErr w:type="spellStart"/>
            <w:r>
              <w:t>hō’ē</w:t>
            </w:r>
            <w:proofErr w:type="spellEnd"/>
          </w:p>
        </w:tc>
        <w:tc>
          <w:tcPr>
            <w:tcW w:w="0" w:type="auto"/>
            <w:vAlign w:val="center"/>
            <w:hideMark/>
          </w:tcPr>
          <w:p w:rsidR="004E7E54" w:rsidRDefault="004E7E54">
            <w:proofErr w:type="spellStart"/>
            <w:r>
              <w:t>piti</w:t>
            </w:r>
            <w:proofErr w:type="spellEnd"/>
          </w:p>
        </w:tc>
        <w:tc>
          <w:tcPr>
            <w:tcW w:w="0" w:type="auto"/>
            <w:vAlign w:val="center"/>
            <w:hideMark/>
          </w:tcPr>
          <w:p w:rsidR="004E7E54" w:rsidRDefault="004E7E54">
            <w:proofErr w:type="spellStart"/>
            <w:r>
              <w:t>toru</w:t>
            </w:r>
            <w:proofErr w:type="spellEnd"/>
          </w:p>
        </w:tc>
        <w:tc>
          <w:tcPr>
            <w:tcW w:w="0" w:type="auto"/>
            <w:vAlign w:val="center"/>
            <w:hideMark/>
          </w:tcPr>
          <w:p w:rsidR="004E7E54" w:rsidRDefault="004E7E54">
            <w:proofErr w:type="spellStart"/>
            <w:r>
              <w:t>maha</w:t>
            </w:r>
            <w:proofErr w:type="spellEnd"/>
          </w:p>
        </w:tc>
        <w:tc>
          <w:tcPr>
            <w:tcW w:w="0" w:type="auto"/>
            <w:vAlign w:val="center"/>
            <w:hideMark/>
          </w:tcPr>
          <w:p w:rsidR="004E7E54" w:rsidRDefault="004E7E54">
            <w:proofErr w:type="spellStart"/>
            <w:r>
              <w:t>pae</w:t>
            </w:r>
            <w:proofErr w:type="spellEnd"/>
          </w:p>
        </w:tc>
        <w:tc>
          <w:tcPr>
            <w:tcW w:w="0" w:type="auto"/>
            <w:vAlign w:val="center"/>
            <w:hideMark/>
          </w:tcPr>
          <w:p w:rsidR="004E7E54" w:rsidRDefault="004E7E54">
            <w:proofErr w:type="spellStart"/>
            <w:r>
              <w:t>ono</w:t>
            </w:r>
            <w:proofErr w:type="spellEnd"/>
          </w:p>
        </w:tc>
        <w:tc>
          <w:tcPr>
            <w:tcW w:w="0" w:type="auto"/>
            <w:vAlign w:val="center"/>
            <w:hideMark/>
          </w:tcPr>
          <w:p w:rsidR="004E7E54" w:rsidRDefault="004E7E54">
            <w:proofErr w:type="spellStart"/>
            <w:r>
              <w:t>hitu</w:t>
            </w:r>
            <w:proofErr w:type="spellEnd"/>
          </w:p>
        </w:tc>
        <w:tc>
          <w:tcPr>
            <w:tcW w:w="0" w:type="auto"/>
            <w:vAlign w:val="center"/>
            <w:hideMark/>
          </w:tcPr>
          <w:p w:rsidR="004E7E54" w:rsidRDefault="004E7E54">
            <w:proofErr w:type="spellStart"/>
            <w:r>
              <w:t>va’u</w:t>
            </w:r>
            <w:proofErr w:type="spellEnd"/>
          </w:p>
        </w:tc>
        <w:tc>
          <w:tcPr>
            <w:tcW w:w="0" w:type="auto"/>
            <w:vAlign w:val="center"/>
            <w:hideMark/>
          </w:tcPr>
          <w:p w:rsidR="004E7E54" w:rsidRDefault="004E7E54">
            <w:proofErr w:type="spellStart"/>
            <w:r>
              <w:t>iva</w:t>
            </w:r>
            <w:proofErr w:type="spellEnd"/>
          </w:p>
        </w:tc>
        <w:tc>
          <w:tcPr>
            <w:tcW w:w="0" w:type="auto"/>
            <w:vAlign w:val="center"/>
            <w:hideMark/>
          </w:tcPr>
          <w:p w:rsidR="004E7E54" w:rsidRDefault="004E7E54">
            <w:proofErr w:type="spellStart"/>
            <w:r>
              <w:t>hō’ē</w:t>
            </w:r>
            <w:proofErr w:type="spellEnd"/>
            <w:r>
              <w:t xml:space="preserve"> ’</w:t>
            </w:r>
            <w:proofErr w:type="spellStart"/>
            <w:r>
              <w:t>ahuru</w:t>
            </w:r>
            <w:proofErr w:type="spellEnd"/>
          </w:p>
        </w:tc>
      </w:tr>
    </w:tbl>
    <w:p w:rsidR="004E7E54" w:rsidRDefault="004E7E54" w:rsidP="004E7E54">
      <w:pPr>
        <w:pStyle w:val="Ttulo2"/>
      </w:pPr>
      <w:r>
        <w:rPr>
          <w:rStyle w:val="mw-headline"/>
        </w:rPr>
        <w:t>Texto de ejemplo</w:t>
      </w:r>
    </w:p>
    <w:p w:rsidR="004E7E54" w:rsidRDefault="004E7E54" w:rsidP="004E7E54">
      <w:pPr>
        <w:pStyle w:val="NormalWeb"/>
      </w:pPr>
      <w:r>
        <w:t xml:space="preserve">Se muestra a continuación un texto de ejemplo en idioma tahitiano, en concreto se trata de los dos primeros artículos de la </w:t>
      </w:r>
      <w:hyperlink r:id="rId188" w:tooltip="Declaración universal de los derechos humanos" w:history="1">
        <w:r>
          <w:rPr>
            <w:rStyle w:val="Hipervnculo"/>
          </w:rPr>
          <w:t>declaración universal de los derechos humanos</w:t>
        </w:r>
      </w:hyperlink>
      <w:r>
        <w:t xml:space="preserve">, cuyo </w:t>
      </w:r>
      <w:proofErr w:type="spellStart"/>
      <w:r>
        <w:t>siginificado</w:t>
      </w:r>
      <w:proofErr w:type="spellEnd"/>
      <w:r>
        <w:t xml:space="preserve"> puede fácilmente ser co</w:t>
      </w:r>
      <w:r>
        <w:t>n</w:t>
      </w:r>
      <w:r>
        <w:t>sultado para su comparación. La versión que se reproduce es la traducción oficial de la Oficina del Alto Comisionado para los Derechos Humanos de las Naciones Unidas.</w:t>
      </w:r>
      <w:hyperlink r:id="rId189" w:anchor="cite_note-derechos_humanos-5" w:history="1">
        <w:r>
          <w:rPr>
            <w:rStyle w:val="Hipervnculo"/>
            <w:vertAlign w:val="superscript"/>
          </w:rPr>
          <w:t>5</w:t>
        </w:r>
      </w:hyperlink>
    </w:p>
    <w:p w:rsidR="004E7E54" w:rsidRDefault="004E7E54" w:rsidP="004E7E54">
      <w:pPr>
        <w:pStyle w:val="NormalWeb"/>
      </w:pPr>
      <w:r>
        <w:rPr>
          <w:b/>
          <w:bCs/>
        </w:rPr>
        <w:t>’IRAVA MATAMUA</w:t>
      </w:r>
    </w:p>
    <w:p w:rsidR="004E7E54" w:rsidRDefault="004E7E54" w:rsidP="004E7E54">
      <w:pPr>
        <w:pStyle w:val="NormalWeb"/>
      </w:pPr>
      <w:r>
        <w:t xml:space="preserve">E </w:t>
      </w:r>
      <w:proofErr w:type="spellStart"/>
      <w:r>
        <w:t>fanauhia</w:t>
      </w:r>
      <w:proofErr w:type="spellEnd"/>
      <w:r>
        <w:t xml:space="preserve"> te </w:t>
      </w:r>
      <w:proofErr w:type="spellStart"/>
      <w:r>
        <w:t>tā’āto'ara'a</w:t>
      </w:r>
      <w:proofErr w:type="spellEnd"/>
      <w:r>
        <w:t xml:space="preserve"> o te </w:t>
      </w:r>
      <w:proofErr w:type="spellStart"/>
      <w:r>
        <w:t>ta’ata-tupu</w:t>
      </w:r>
      <w:proofErr w:type="spellEnd"/>
      <w:r>
        <w:t xml:space="preserve"> </w:t>
      </w:r>
      <w:proofErr w:type="spellStart"/>
      <w:r>
        <w:t>ma</w:t>
      </w:r>
      <w:proofErr w:type="spellEnd"/>
      <w:r>
        <w:t xml:space="preserve"> te </w:t>
      </w:r>
      <w:proofErr w:type="spellStart"/>
      <w:r>
        <w:t>ti’amā</w:t>
      </w:r>
      <w:proofErr w:type="spellEnd"/>
      <w:r>
        <w:t xml:space="preserve"> e te </w:t>
      </w:r>
      <w:proofErr w:type="spellStart"/>
      <w:r>
        <w:t>ti’amanara’a</w:t>
      </w:r>
      <w:proofErr w:type="spellEnd"/>
      <w:r>
        <w:t xml:space="preserve"> ’</w:t>
      </w:r>
      <w:proofErr w:type="spellStart"/>
      <w:r>
        <w:t>aifaito</w:t>
      </w:r>
      <w:proofErr w:type="spellEnd"/>
      <w:r>
        <w:t xml:space="preserve">. </w:t>
      </w:r>
      <w:proofErr w:type="spellStart"/>
      <w:r>
        <w:t>Ua</w:t>
      </w:r>
      <w:proofErr w:type="spellEnd"/>
      <w:r>
        <w:t xml:space="preserve"> ’ī te </w:t>
      </w:r>
      <w:proofErr w:type="spellStart"/>
      <w:r>
        <w:t>mana’o</w:t>
      </w:r>
      <w:proofErr w:type="spellEnd"/>
      <w:r>
        <w:t xml:space="preserve"> </w:t>
      </w:r>
      <w:proofErr w:type="spellStart"/>
      <w:r>
        <w:t>pa’ari</w:t>
      </w:r>
      <w:proofErr w:type="spellEnd"/>
      <w:r>
        <w:t xml:space="preserve"> e i te </w:t>
      </w:r>
      <w:proofErr w:type="spellStart"/>
      <w:r>
        <w:t>manava</w:t>
      </w:r>
      <w:proofErr w:type="spellEnd"/>
      <w:r>
        <w:t xml:space="preserve"> e </w:t>
      </w:r>
      <w:proofErr w:type="spellStart"/>
      <w:r>
        <w:t>ma</w:t>
      </w:r>
      <w:proofErr w:type="spellEnd"/>
      <w:r>
        <w:t xml:space="preserve"> te ’</w:t>
      </w:r>
      <w:proofErr w:type="spellStart"/>
      <w:r>
        <w:t>a’au</w:t>
      </w:r>
      <w:proofErr w:type="spellEnd"/>
      <w:r>
        <w:t xml:space="preserve"> </w:t>
      </w:r>
      <w:proofErr w:type="spellStart"/>
      <w:r>
        <w:t>taea’e</w:t>
      </w:r>
      <w:proofErr w:type="spellEnd"/>
      <w:r>
        <w:t xml:space="preserve"> ’</w:t>
      </w:r>
      <w:proofErr w:type="spellStart"/>
      <w:r>
        <w:t>oia</w:t>
      </w:r>
      <w:proofErr w:type="spellEnd"/>
      <w:r>
        <w:t xml:space="preserve"> </w:t>
      </w:r>
      <w:proofErr w:type="spellStart"/>
      <w:r>
        <w:t>ta</w:t>
      </w:r>
      <w:proofErr w:type="spellEnd"/>
      <w:r>
        <w:t xml:space="preserve"> </w:t>
      </w:r>
      <w:proofErr w:type="spellStart"/>
      <w:r>
        <w:t>ratou</w:t>
      </w:r>
      <w:proofErr w:type="spellEnd"/>
      <w:r>
        <w:t xml:space="preserve"> </w:t>
      </w:r>
      <w:proofErr w:type="spellStart"/>
      <w:r>
        <w:t>ha’a</w:t>
      </w:r>
      <w:proofErr w:type="spellEnd"/>
      <w:r>
        <w:t xml:space="preserve"> i </w:t>
      </w:r>
      <w:proofErr w:type="spellStart"/>
      <w:r>
        <w:t>rotopū</w:t>
      </w:r>
      <w:proofErr w:type="spellEnd"/>
      <w:r>
        <w:t xml:space="preserve"> </w:t>
      </w:r>
      <w:proofErr w:type="spellStart"/>
      <w:r>
        <w:t>ia</w:t>
      </w:r>
      <w:proofErr w:type="spellEnd"/>
      <w:r>
        <w:t xml:space="preserve"> </w:t>
      </w:r>
      <w:proofErr w:type="spellStart"/>
      <w:r>
        <w:t>ratou</w:t>
      </w:r>
      <w:proofErr w:type="spellEnd"/>
      <w:r>
        <w:t xml:space="preserve"> </w:t>
      </w:r>
      <w:proofErr w:type="spellStart"/>
      <w:r>
        <w:t>iho</w:t>
      </w:r>
      <w:proofErr w:type="spellEnd"/>
      <w:r>
        <w:t xml:space="preserve">, e </w:t>
      </w:r>
      <w:proofErr w:type="spellStart"/>
      <w:r>
        <w:t>ti’a</w:t>
      </w:r>
      <w:proofErr w:type="spellEnd"/>
      <w:r>
        <w:t xml:space="preserve"> </w:t>
      </w:r>
      <w:proofErr w:type="spellStart"/>
      <w:r>
        <w:t>ai</w:t>
      </w:r>
      <w:proofErr w:type="spellEnd"/>
      <w:r>
        <w:t>;</w:t>
      </w:r>
    </w:p>
    <w:p w:rsidR="004E7E54" w:rsidRDefault="004E7E54" w:rsidP="004E7E54">
      <w:pPr>
        <w:pStyle w:val="NormalWeb"/>
      </w:pPr>
      <w:r>
        <w:rPr>
          <w:b/>
          <w:bCs/>
        </w:rPr>
        <w:t>’IRAVA PITI</w:t>
      </w:r>
    </w:p>
    <w:p w:rsidR="004E7E54" w:rsidRDefault="004E7E54" w:rsidP="004E7E54">
      <w:pPr>
        <w:pStyle w:val="NormalWeb"/>
      </w:pPr>
      <w:r>
        <w:t xml:space="preserve">E </w:t>
      </w:r>
      <w:proofErr w:type="spellStart"/>
      <w:r>
        <w:t>ti’a</w:t>
      </w:r>
      <w:proofErr w:type="spellEnd"/>
      <w:r>
        <w:t xml:space="preserve"> </w:t>
      </w:r>
      <w:proofErr w:type="spellStart"/>
      <w:r>
        <w:t>ta</w:t>
      </w:r>
      <w:proofErr w:type="spellEnd"/>
      <w:r>
        <w:t xml:space="preserve"> te </w:t>
      </w:r>
      <w:proofErr w:type="spellStart"/>
      <w:r>
        <w:t>ta’ata</w:t>
      </w:r>
      <w:proofErr w:type="spellEnd"/>
      <w:r>
        <w:t xml:space="preserve"> </w:t>
      </w:r>
      <w:proofErr w:type="spellStart"/>
      <w:r>
        <w:t>tata’itahi</w:t>
      </w:r>
      <w:proofErr w:type="spellEnd"/>
      <w:r>
        <w:t xml:space="preserve"> i te </w:t>
      </w:r>
      <w:proofErr w:type="spellStart"/>
      <w:r>
        <w:t>fa’ariro</w:t>
      </w:r>
      <w:proofErr w:type="spellEnd"/>
      <w:r>
        <w:t xml:space="preserve"> ’</w:t>
      </w:r>
      <w:proofErr w:type="spellStart"/>
      <w:r>
        <w:t>ei</w:t>
      </w:r>
      <w:proofErr w:type="spellEnd"/>
      <w:r>
        <w:t xml:space="preserve"> </w:t>
      </w:r>
      <w:proofErr w:type="spellStart"/>
      <w:r>
        <w:t>ti’ara’a</w:t>
      </w:r>
      <w:proofErr w:type="spellEnd"/>
      <w:r>
        <w:t xml:space="preserve"> no </w:t>
      </w:r>
      <w:proofErr w:type="spellStart"/>
      <w:r>
        <w:t>na</w:t>
      </w:r>
      <w:proofErr w:type="spellEnd"/>
      <w:r>
        <w:t xml:space="preserve">, </w:t>
      </w:r>
      <w:proofErr w:type="spellStart"/>
      <w:r>
        <w:t>teie</w:t>
      </w:r>
      <w:proofErr w:type="spellEnd"/>
      <w:r>
        <w:t xml:space="preserve"> </w:t>
      </w:r>
      <w:proofErr w:type="spellStart"/>
      <w:r>
        <w:t>mau</w:t>
      </w:r>
      <w:proofErr w:type="spellEnd"/>
      <w:r>
        <w:t xml:space="preserve"> </w:t>
      </w:r>
      <w:proofErr w:type="spellStart"/>
      <w:r>
        <w:t>ti’amanara’a</w:t>
      </w:r>
      <w:proofErr w:type="spellEnd"/>
      <w:r>
        <w:t xml:space="preserve"> e te </w:t>
      </w:r>
      <w:proofErr w:type="spellStart"/>
      <w:r>
        <w:t>mau</w:t>
      </w:r>
      <w:proofErr w:type="spellEnd"/>
      <w:r>
        <w:t xml:space="preserve"> </w:t>
      </w:r>
      <w:proofErr w:type="spellStart"/>
      <w:r>
        <w:t>ti’amāra’a</w:t>
      </w:r>
      <w:proofErr w:type="spellEnd"/>
      <w:r>
        <w:t xml:space="preserve"> i </w:t>
      </w:r>
      <w:proofErr w:type="spellStart"/>
      <w:r>
        <w:t>ha’apararea</w:t>
      </w:r>
      <w:proofErr w:type="spellEnd"/>
      <w:r>
        <w:t xml:space="preserve"> i roto i </w:t>
      </w:r>
      <w:proofErr w:type="spellStart"/>
      <w:r>
        <w:t>teie</w:t>
      </w:r>
      <w:proofErr w:type="spellEnd"/>
      <w:r>
        <w:t xml:space="preserve"> </w:t>
      </w:r>
      <w:proofErr w:type="spellStart"/>
      <w:r>
        <w:t>Fa’ira’a</w:t>
      </w:r>
      <w:proofErr w:type="spellEnd"/>
      <w:r>
        <w:t xml:space="preserve">, </w:t>
      </w:r>
      <w:proofErr w:type="spellStart"/>
      <w:r>
        <w:t>ma</w:t>
      </w:r>
      <w:proofErr w:type="spellEnd"/>
      <w:r>
        <w:t xml:space="preserve"> te </w:t>
      </w:r>
      <w:proofErr w:type="spellStart"/>
      <w:r>
        <w:t>hō’ē</w:t>
      </w:r>
      <w:proofErr w:type="spellEnd"/>
      <w:r>
        <w:t xml:space="preserve"> </w:t>
      </w:r>
      <w:proofErr w:type="spellStart"/>
      <w:r>
        <w:t>mā’itira’a’orehia</w:t>
      </w:r>
      <w:proofErr w:type="spellEnd"/>
      <w:r>
        <w:t xml:space="preserve"> ’</w:t>
      </w:r>
      <w:proofErr w:type="spellStart"/>
      <w:r>
        <w:t>oia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taura</w:t>
      </w:r>
      <w:proofErr w:type="spellEnd"/>
      <w:r>
        <w:t xml:space="preserve"> </w:t>
      </w:r>
      <w:proofErr w:type="spellStart"/>
      <w:r>
        <w:t>ta’ata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rava</w:t>
      </w:r>
      <w:proofErr w:type="spellEnd"/>
      <w:r>
        <w:t xml:space="preserve"> ’</w:t>
      </w:r>
      <w:proofErr w:type="spellStart"/>
      <w:r>
        <w:t>iri</w:t>
      </w:r>
      <w:proofErr w:type="spellEnd"/>
      <w:r>
        <w:t xml:space="preserve">, i te </w:t>
      </w:r>
      <w:proofErr w:type="spellStart"/>
      <w:r>
        <w:t>tānē</w:t>
      </w:r>
      <w:proofErr w:type="spellEnd"/>
      <w:r>
        <w:t xml:space="preserve"> e te </w:t>
      </w:r>
      <w:proofErr w:type="spellStart"/>
      <w:r>
        <w:t>vahine</w:t>
      </w:r>
      <w:proofErr w:type="spellEnd"/>
      <w:r>
        <w:t xml:space="preserve">, i te reo, i te </w:t>
      </w:r>
      <w:proofErr w:type="spellStart"/>
      <w:r>
        <w:t>fa’aro’o</w:t>
      </w:r>
      <w:proofErr w:type="spellEnd"/>
      <w:r>
        <w:t xml:space="preserve">, te </w:t>
      </w:r>
      <w:proofErr w:type="spellStart"/>
      <w:r>
        <w:t>mana’o</w:t>
      </w:r>
      <w:proofErr w:type="spellEnd"/>
      <w:r>
        <w:t xml:space="preserve"> </w:t>
      </w:r>
      <w:proofErr w:type="spellStart"/>
      <w:r>
        <w:t>poritita</w:t>
      </w:r>
      <w:proofErr w:type="spellEnd"/>
      <w:r>
        <w:t xml:space="preserve"> ’</w:t>
      </w:r>
      <w:proofErr w:type="spellStart"/>
      <w:r>
        <w:t>aore</w:t>
      </w:r>
      <w:proofErr w:type="spellEnd"/>
      <w:r>
        <w:t xml:space="preserve"> </w:t>
      </w:r>
      <w:proofErr w:type="spellStart"/>
      <w:r>
        <w:t>ra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tahi</w:t>
      </w:r>
      <w:proofErr w:type="spellEnd"/>
      <w:r>
        <w:t xml:space="preserve"> </w:t>
      </w:r>
      <w:proofErr w:type="spellStart"/>
      <w:r>
        <w:t>atu</w:t>
      </w:r>
      <w:proofErr w:type="spellEnd"/>
      <w:r>
        <w:t xml:space="preserve"> a </w:t>
      </w:r>
      <w:proofErr w:type="spellStart"/>
      <w:r>
        <w:t>mau</w:t>
      </w:r>
      <w:proofErr w:type="spellEnd"/>
      <w:r>
        <w:t xml:space="preserve"> </w:t>
      </w:r>
      <w:proofErr w:type="spellStart"/>
      <w:r>
        <w:t>mana’o</w:t>
      </w:r>
      <w:proofErr w:type="spellEnd"/>
      <w:r>
        <w:t xml:space="preserve"> no roto </w:t>
      </w:r>
      <w:proofErr w:type="spellStart"/>
      <w:r>
        <w:t>mai</w:t>
      </w:r>
      <w:proofErr w:type="spellEnd"/>
      <w:r>
        <w:t xml:space="preserve"> i te </w:t>
      </w:r>
      <w:proofErr w:type="spellStart"/>
      <w:r>
        <w:t>va’a’ai’a</w:t>
      </w:r>
      <w:proofErr w:type="spellEnd"/>
      <w:r>
        <w:t xml:space="preserve"> ’</w:t>
      </w:r>
      <w:proofErr w:type="spellStart"/>
      <w:r>
        <w:t>aore</w:t>
      </w:r>
      <w:proofErr w:type="spellEnd"/>
      <w:r>
        <w:t xml:space="preserve"> </w:t>
      </w:r>
      <w:proofErr w:type="spellStart"/>
      <w:r>
        <w:t>ra</w:t>
      </w:r>
      <w:proofErr w:type="spellEnd"/>
      <w:r>
        <w:t xml:space="preserve"> i te ’</w:t>
      </w:r>
      <w:proofErr w:type="spellStart"/>
      <w:r>
        <w:t>avirira’ata’ata</w:t>
      </w:r>
      <w:proofErr w:type="spellEnd"/>
      <w:r>
        <w:t xml:space="preserve">; </w:t>
      </w:r>
      <w:proofErr w:type="spellStart"/>
      <w:r>
        <w:t>ma</w:t>
      </w:r>
      <w:proofErr w:type="spellEnd"/>
      <w:r>
        <w:t xml:space="preserve"> te </w:t>
      </w:r>
      <w:proofErr w:type="spellStart"/>
      <w:r>
        <w:t>ma’iti-’ore-ato’a-hia</w:t>
      </w:r>
      <w:proofErr w:type="spellEnd"/>
      <w:r>
        <w:t xml:space="preserve"> ’</w:t>
      </w:r>
      <w:proofErr w:type="spellStart"/>
      <w:r>
        <w:t>oia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faufa’a</w:t>
      </w:r>
      <w:proofErr w:type="spellEnd"/>
      <w:r>
        <w:t xml:space="preserve">, i te </w:t>
      </w:r>
      <w:proofErr w:type="spellStart"/>
      <w:r>
        <w:t>papafanaura’a</w:t>
      </w:r>
      <w:proofErr w:type="spellEnd"/>
      <w:r>
        <w:t xml:space="preserve"> ’</w:t>
      </w:r>
      <w:proofErr w:type="spellStart"/>
      <w:r>
        <w:t>aore</w:t>
      </w:r>
      <w:proofErr w:type="spellEnd"/>
      <w:r>
        <w:t xml:space="preserve"> </w:t>
      </w:r>
      <w:proofErr w:type="spellStart"/>
      <w:r>
        <w:t>ra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tahi</w:t>
      </w:r>
      <w:proofErr w:type="spellEnd"/>
      <w:r>
        <w:t xml:space="preserve"> </w:t>
      </w:r>
      <w:proofErr w:type="spellStart"/>
      <w:r>
        <w:t>atu</w:t>
      </w:r>
      <w:proofErr w:type="spellEnd"/>
      <w:r>
        <w:t xml:space="preserve"> a </w:t>
      </w:r>
      <w:proofErr w:type="spellStart"/>
      <w:r>
        <w:t>mau</w:t>
      </w:r>
      <w:proofErr w:type="spellEnd"/>
      <w:r>
        <w:t xml:space="preserve"> </w:t>
      </w:r>
      <w:proofErr w:type="spellStart"/>
      <w:r>
        <w:t>huru</w:t>
      </w:r>
      <w:proofErr w:type="spellEnd"/>
      <w:r>
        <w:t xml:space="preserve"> </w:t>
      </w:r>
      <w:proofErr w:type="spellStart"/>
      <w:r>
        <w:t>ti’ara’a</w:t>
      </w:r>
      <w:proofErr w:type="spellEnd"/>
      <w:r>
        <w:t>.</w:t>
      </w:r>
    </w:p>
    <w:p w:rsidR="004E7E54" w:rsidRDefault="004E7E54" w:rsidP="004E7E54">
      <w:pPr>
        <w:pStyle w:val="NormalWeb"/>
      </w:pPr>
      <w:proofErr w:type="spellStart"/>
      <w:r>
        <w:t>Teie</w:t>
      </w:r>
      <w:proofErr w:type="spellEnd"/>
      <w:r>
        <w:t xml:space="preserve"> </w:t>
      </w:r>
      <w:proofErr w:type="spellStart"/>
      <w:r>
        <w:t>atu</w:t>
      </w:r>
      <w:proofErr w:type="spellEnd"/>
      <w:r>
        <w:t xml:space="preserve"> a, ’</w:t>
      </w:r>
      <w:proofErr w:type="spellStart"/>
      <w:r>
        <w:t>aore</w:t>
      </w:r>
      <w:proofErr w:type="spellEnd"/>
      <w:r>
        <w:t xml:space="preserve"> ’e </w:t>
      </w:r>
      <w:proofErr w:type="spellStart"/>
      <w:r>
        <w:t>mā’itira’a</w:t>
      </w:r>
      <w:proofErr w:type="spellEnd"/>
      <w:r>
        <w:t xml:space="preserve"> e </w:t>
      </w:r>
      <w:proofErr w:type="spellStart"/>
      <w:r>
        <w:t>ravehia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papara’a</w:t>
      </w:r>
      <w:proofErr w:type="spellEnd"/>
      <w:r>
        <w:t xml:space="preserve"> </w:t>
      </w:r>
      <w:proofErr w:type="spellStart"/>
      <w:r>
        <w:t>poritita</w:t>
      </w:r>
      <w:proofErr w:type="spellEnd"/>
      <w:r>
        <w:t xml:space="preserve">, i te </w:t>
      </w:r>
      <w:proofErr w:type="spellStart"/>
      <w:r>
        <w:t>manara’a</w:t>
      </w:r>
      <w:proofErr w:type="spellEnd"/>
      <w:r>
        <w:t>-ture ’</w:t>
      </w:r>
      <w:proofErr w:type="spellStart"/>
      <w:r>
        <w:t>aore</w:t>
      </w:r>
      <w:proofErr w:type="spellEnd"/>
      <w:r>
        <w:t xml:space="preserve"> </w:t>
      </w:r>
      <w:proofErr w:type="spellStart"/>
      <w:r>
        <w:t>ra</w:t>
      </w:r>
      <w:proofErr w:type="spellEnd"/>
      <w:r>
        <w:t xml:space="preserve"> </w:t>
      </w:r>
      <w:proofErr w:type="spellStart"/>
      <w:r>
        <w:t>na</w:t>
      </w:r>
      <w:proofErr w:type="spellEnd"/>
      <w:r>
        <w:t xml:space="preserve"> </w:t>
      </w:r>
      <w:proofErr w:type="spellStart"/>
      <w:r>
        <w:t>ni’a</w:t>
      </w:r>
      <w:proofErr w:type="spellEnd"/>
      <w:r>
        <w:t xml:space="preserve"> i te </w:t>
      </w:r>
      <w:proofErr w:type="spellStart"/>
      <w:r>
        <w:t>papara’a</w:t>
      </w:r>
      <w:proofErr w:type="spellEnd"/>
      <w:r>
        <w:t xml:space="preserve"> i </w:t>
      </w:r>
      <w:proofErr w:type="spellStart"/>
      <w:r>
        <w:t>rotopū</w:t>
      </w:r>
      <w:proofErr w:type="spellEnd"/>
      <w:r>
        <w:t xml:space="preserve"> i te </w:t>
      </w:r>
      <w:proofErr w:type="spellStart"/>
      <w:r>
        <w:t>mau</w:t>
      </w:r>
      <w:proofErr w:type="spellEnd"/>
      <w:r>
        <w:t xml:space="preserve"> </w:t>
      </w:r>
      <w:proofErr w:type="spellStart"/>
      <w:r>
        <w:t>va’a’ai’a</w:t>
      </w:r>
      <w:proofErr w:type="spellEnd"/>
      <w:r>
        <w:t xml:space="preserve"> o te </w:t>
      </w:r>
      <w:proofErr w:type="spellStart"/>
      <w:r>
        <w:t>fenua</w:t>
      </w:r>
      <w:proofErr w:type="spellEnd"/>
      <w:r>
        <w:t xml:space="preserve"> ’</w:t>
      </w:r>
      <w:proofErr w:type="spellStart"/>
      <w:r>
        <w:t>aore</w:t>
      </w:r>
      <w:proofErr w:type="spellEnd"/>
      <w:r>
        <w:t xml:space="preserve"> </w:t>
      </w:r>
      <w:proofErr w:type="spellStart"/>
      <w:r>
        <w:t>ra</w:t>
      </w:r>
      <w:proofErr w:type="spellEnd"/>
      <w:r>
        <w:t xml:space="preserve"> o te </w:t>
      </w:r>
      <w:proofErr w:type="spellStart"/>
      <w:r>
        <w:t>hau-fenua</w:t>
      </w:r>
      <w:proofErr w:type="spellEnd"/>
      <w:r>
        <w:t xml:space="preserve"> o te </w:t>
      </w:r>
      <w:proofErr w:type="spellStart"/>
      <w:r>
        <w:t>hō’ē</w:t>
      </w:r>
      <w:proofErr w:type="spellEnd"/>
      <w:r>
        <w:t xml:space="preserve"> </w:t>
      </w:r>
      <w:proofErr w:type="spellStart"/>
      <w:r>
        <w:t>ta’ata</w:t>
      </w:r>
      <w:proofErr w:type="spellEnd"/>
      <w:r>
        <w:t xml:space="preserve"> </w:t>
      </w:r>
      <w:proofErr w:type="spellStart"/>
      <w:r>
        <w:t>a’amau</w:t>
      </w:r>
      <w:proofErr w:type="spellEnd"/>
      <w:r>
        <w:t xml:space="preserve">, </w:t>
      </w:r>
      <w:proofErr w:type="spellStart"/>
      <w:r>
        <w:t>noa</w:t>
      </w:r>
      <w:proofErr w:type="spellEnd"/>
      <w:r>
        <w:t xml:space="preserve"> </w:t>
      </w:r>
      <w:proofErr w:type="spellStart"/>
      <w:r>
        <w:t>atu</w:t>
      </w:r>
      <w:proofErr w:type="spellEnd"/>
      <w:r>
        <w:t xml:space="preserve"> </w:t>
      </w:r>
      <w:proofErr w:type="spellStart"/>
      <w:r>
        <w:t>teie</w:t>
      </w:r>
      <w:proofErr w:type="spellEnd"/>
      <w:r>
        <w:t xml:space="preserve"> ’e </w:t>
      </w:r>
      <w:proofErr w:type="spellStart"/>
      <w:r>
        <w:t>fenua</w:t>
      </w:r>
      <w:proofErr w:type="spellEnd"/>
      <w:r>
        <w:t xml:space="preserve"> ’</w:t>
      </w:r>
      <w:proofErr w:type="spellStart"/>
      <w:r>
        <w:t>aore</w:t>
      </w:r>
      <w:proofErr w:type="spellEnd"/>
      <w:r>
        <w:t xml:space="preserve"> ’e </w:t>
      </w:r>
      <w:proofErr w:type="spellStart"/>
      <w:r>
        <w:t>hau-fenua</w:t>
      </w:r>
      <w:proofErr w:type="spellEnd"/>
      <w:r>
        <w:t xml:space="preserve"> mana </w:t>
      </w:r>
      <w:proofErr w:type="spellStart"/>
      <w:r>
        <w:t>ta’a’ē</w:t>
      </w:r>
      <w:proofErr w:type="spellEnd"/>
      <w:r>
        <w:t xml:space="preserve">, ’e </w:t>
      </w:r>
      <w:proofErr w:type="spellStart"/>
      <w:r>
        <w:t>fenua</w:t>
      </w:r>
      <w:proofErr w:type="spellEnd"/>
      <w:r>
        <w:t xml:space="preserve"> </w:t>
      </w:r>
      <w:proofErr w:type="spellStart"/>
      <w:r>
        <w:t>fa’aterehia</w:t>
      </w:r>
      <w:proofErr w:type="spellEnd"/>
      <w:r>
        <w:t>, i ’</w:t>
      </w:r>
      <w:proofErr w:type="spellStart"/>
      <w:r>
        <w:t>o’oti</w:t>
      </w:r>
      <w:proofErr w:type="spellEnd"/>
      <w:r>
        <w:t>-pito-’ore ’</w:t>
      </w:r>
      <w:proofErr w:type="spellStart"/>
      <w:r>
        <w:t>aore</w:t>
      </w:r>
      <w:proofErr w:type="spellEnd"/>
      <w:r>
        <w:t xml:space="preserve"> </w:t>
      </w:r>
      <w:proofErr w:type="spellStart"/>
      <w:r>
        <w:t>ra</w:t>
      </w:r>
      <w:proofErr w:type="spellEnd"/>
      <w:r>
        <w:t xml:space="preserve"> ’e </w:t>
      </w:r>
      <w:proofErr w:type="spellStart"/>
      <w:r>
        <w:t>fenua</w:t>
      </w:r>
      <w:proofErr w:type="spellEnd"/>
      <w:r>
        <w:t xml:space="preserve"> </w:t>
      </w:r>
      <w:proofErr w:type="spellStart"/>
      <w:r>
        <w:t>ti’amāra’a</w:t>
      </w:r>
      <w:proofErr w:type="spellEnd"/>
      <w:r>
        <w:t xml:space="preserve"> </w:t>
      </w:r>
      <w:proofErr w:type="spellStart"/>
      <w:r>
        <w:t>fa’aitihia</w:t>
      </w:r>
      <w:proofErr w:type="spellEnd"/>
      <w:r>
        <w:t>.</w:t>
      </w:r>
    </w:p>
    <w:p w:rsidR="004E7E54" w:rsidRDefault="00FE7F35" w:rsidP="004E7E54">
      <w:pPr>
        <w:pStyle w:val="Ttulo2"/>
      </w:pPr>
      <w:hyperlink r:id="rId190" w:tooltip="Préstamo lingüístico" w:history="1">
        <w:r w:rsidR="004E7E54">
          <w:rPr>
            <w:rStyle w:val="Hipervnculo"/>
          </w:rPr>
          <w:t>Préstamos</w:t>
        </w:r>
      </w:hyperlink>
      <w:r w:rsidR="004E7E54">
        <w:rPr>
          <w:rStyle w:val="mw-headline"/>
        </w:rPr>
        <w:t xml:space="preserve"> del tahitiano hacia las lenguas occidentales</w:t>
      </w:r>
    </w:p>
    <w:p w:rsidR="004E7E54" w:rsidRDefault="004E7E54" w:rsidP="004E7E54">
      <w:pPr>
        <w:widowControl/>
        <w:numPr>
          <w:ilvl w:val="0"/>
          <w:numId w:val="11"/>
        </w:numPr>
        <w:autoSpaceDE/>
        <w:autoSpaceDN/>
        <w:adjustRightInd/>
        <w:spacing w:before="100" w:beforeAutospacing="1" w:after="100" w:afterAutospacing="1"/>
      </w:pPr>
      <w:proofErr w:type="spellStart"/>
      <w:r>
        <w:rPr>
          <w:b/>
          <w:bCs/>
        </w:rPr>
        <w:t>Monoi</w:t>
      </w:r>
      <w:proofErr w:type="spellEnd"/>
      <w:r>
        <w:t xml:space="preserve"> (</w:t>
      </w:r>
      <w:proofErr w:type="spellStart"/>
      <w:r>
        <w:rPr>
          <w:i/>
          <w:iCs/>
        </w:rPr>
        <w:t>mono’i</w:t>
      </w:r>
      <w:proofErr w:type="spellEnd"/>
      <w:r>
        <w:t xml:space="preserve">). Se trata de aceite de coco macerado con flores de </w:t>
      </w:r>
      <w:proofErr w:type="spellStart"/>
      <w:r>
        <w:t>tiaré</w:t>
      </w:r>
      <w:proofErr w:type="spellEnd"/>
      <w:r>
        <w:t xml:space="preserve">; este aceite se </w:t>
      </w:r>
      <w:proofErr w:type="spellStart"/>
      <w:r>
        <w:t>ut</w:t>
      </w:r>
      <w:r>
        <w:t>i</w:t>
      </w:r>
      <w:r>
        <w:t>liaza</w:t>
      </w:r>
      <w:proofErr w:type="spellEnd"/>
      <w:r>
        <w:t xml:space="preserve"> tradicionalmente como protector solar. Actualmente se comercializa bajo una </w:t>
      </w:r>
      <w:hyperlink r:id="rId191" w:tooltip="Denominación de origen" w:history="1">
        <w:r>
          <w:rPr>
            <w:rStyle w:val="Hipervnculo"/>
          </w:rPr>
          <w:t>denom</w:t>
        </w:r>
        <w:r>
          <w:rPr>
            <w:rStyle w:val="Hipervnculo"/>
          </w:rPr>
          <w:t>i</w:t>
        </w:r>
        <w:r>
          <w:rPr>
            <w:rStyle w:val="Hipervnculo"/>
          </w:rPr>
          <w:t>nación de origen</w:t>
        </w:r>
      </w:hyperlink>
      <w:r>
        <w:t xml:space="preserve"> protegida.</w:t>
      </w:r>
    </w:p>
    <w:p w:rsidR="004E7E54" w:rsidRDefault="004E7E54" w:rsidP="004E7E54">
      <w:pPr>
        <w:widowControl/>
        <w:numPr>
          <w:ilvl w:val="0"/>
          <w:numId w:val="11"/>
        </w:numPr>
        <w:autoSpaceDE/>
        <w:autoSpaceDN/>
        <w:adjustRightInd/>
        <w:spacing w:before="100" w:beforeAutospacing="1" w:after="100" w:afterAutospacing="1"/>
      </w:pPr>
      <w:r>
        <w:rPr>
          <w:b/>
          <w:bCs/>
        </w:rPr>
        <w:t>Motu</w:t>
      </w:r>
      <w:r>
        <w:t>. En tahitiano, uno de sus significados es el de "isla"; ha pasado al vocabulario g</w:t>
      </w:r>
      <w:r>
        <w:t>e</w:t>
      </w:r>
      <w:r>
        <w:t xml:space="preserve">ográfico internacional como la palabra para designar los </w:t>
      </w:r>
      <w:hyperlink r:id="rId192" w:tooltip="Islote" w:history="1">
        <w:r>
          <w:rPr>
            <w:rStyle w:val="Hipervnculo"/>
          </w:rPr>
          <w:t>islotes</w:t>
        </w:r>
      </w:hyperlink>
      <w:r>
        <w:t xml:space="preserve"> </w:t>
      </w:r>
      <w:hyperlink r:id="rId193" w:tooltip="Coral" w:history="1">
        <w:r>
          <w:rPr>
            <w:rStyle w:val="Hipervnculo"/>
          </w:rPr>
          <w:t>coralinos</w:t>
        </w:r>
      </w:hyperlink>
      <w:r>
        <w:t xml:space="preserve"> de los </w:t>
      </w:r>
      <w:hyperlink r:id="rId194" w:tooltip="Atolón" w:history="1">
        <w:r>
          <w:rPr>
            <w:rStyle w:val="Hipervnculo"/>
          </w:rPr>
          <w:t>atolones</w:t>
        </w:r>
      </w:hyperlink>
      <w:r>
        <w:t xml:space="preserve"> o de los </w:t>
      </w:r>
      <w:hyperlink r:id="rId195" w:tooltip="Arrecife" w:history="1">
        <w:r>
          <w:rPr>
            <w:rStyle w:val="Hipervnculo"/>
          </w:rPr>
          <w:t>arrecifes</w:t>
        </w:r>
      </w:hyperlink>
      <w:r>
        <w:t xml:space="preserve"> que rodean las islas altas.</w:t>
      </w:r>
    </w:p>
    <w:p w:rsidR="004E7E54" w:rsidRDefault="004E7E54" w:rsidP="004E7E54">
      <w:pPr>
        <w:widowControl/>
        <w:numPr>
          <w:ilvl w:val="0"/>
          <w:numId w:val="11"/>
        </w:numPr>
        <w:autoSpaceDE/>
        <w:autoSpaceDN/>
        <w:adjustRightInd/>
        <w:spacing w:before="100" w:beforeAutospacing="1" w:after="100" w:afterAutospacing="1"/>
      </w:pPr>
      <w:r>
        <w:rPr>
          <w:b/>
          <w:bCs/>
        </w:rPr>
        <w:t>Pareo</w:t>
      </w:r>
      <w:r>
        <w:t xml:space="preserve">. Esta palabra ha sido tomada de la tahitiana </w:t>
      </w:r>
      <w:proofErr w:type="spellStart"/>
      <w:r>
        <w:rPr>
          <w:i/>
          <w:iCs/>
        </w:rPr>
        <w:t>pāreu</w:t>
      </w:r>
      <w:proofErr w:type="spellEnd"/>
      <w:r>
        <w:t xml:space="preserve"> que significa 'tela'. Se trata del vestido tradicional polinesio, tanto para hombres como para mujeres y la palabra deriva de «tobillo».</w:t>
      </w:r>
    </w:p>
    <w:p w:rsidR="004E7E54" w:rsidRDefault="004E7E54" w:rsidP="004E7E54">
      <w:pPr>
        <w:widowControl/>
        <w:numPr>
          <w:ilvl w:val="0"/>
          <w:numId w:val="11"/>
        </w:numPr>
        <w:autoSpaceDE/>
        <w:autoSpaceDN/>
        <w:adjustRightInd/>
        <w:spacing w:before="100" w:beforeAutospacing="1" w:after="100" w:afterAutospacing="1"/>
      </w:pPr>
      <w:r>
        <w:rPr>
          <w:b/>
          <w:bCs/>
        </w:rPr>
        <w:t>Tatuar</w:t>
      </w:r>
      <w:r>
        <w:t xml:space="preserve">. Proviene del sustantivo </w:t>
      </w:r>
      <w:proofErr w:type="spellStart"/>
      <w:r>
        <w:rPr>
          <w:i/>
          <w:iCs/>
        </w:rPr>
        <w:t>tātau</w:t>
      </w:r>
      <w:proofErr w:type="spellEnd"/>
      <w:r>
        <w:t xml:space="preserve">, que significa "tatuaje". El verbo en tahitiano es </w:t>
      </w:r>
      <w:proofErr w:type="spellStart"/>
      <w:r>
        <w:rPr>
          <w:i/>
          <w:iCs/>
        </w:rPr>
        <w:t>ta</w:t>
      </w:r>
      <w:proofErr w:type="spellEnd"/>
      <w:r>
        <w:rPr>
          <w:i/>
          <w:iCs/>
        </w:rPr>
        <w:t xml:space="preserve"> </w:t>
      </w:r>
      <w:proofErr w:type="spellStart"/>
      <w:r>
        <w:rPr>
          <w:i/>
          <w:iCs/>
        </w:rPr>
        <w:t>tātau</w:t>
      </w:r>
      <w:proofErr w:type="spellEnd"/>
      <w:r>
        <w:t>, relacionado con la acción de golpear repetidamente.</w:t>
      </w:r>
    </w:p>
    <w:p w:rsidR="004E7E54" w:rsidRDefault="004E7E54" w:rsidP="004E7E54">
      <w:pPr>
        <w:widowControl/>
        <w:numPr>
          <w:ilvl w:val="0"/>
          <w:numId w:val="11"/>
        </w:numPr>
        <w:autoSpaceDE/>
        <w:autoSpaceDN/>
        <w:adjustRightInd/>
        <w:spacing w:before="100" w:beforeAutospacing="1" w:after="100" w:afterAutospacing="1"/>
      </w:pPr>
      <w:proofErr w:type="spellStart"/>
      <w:r>
        <w:rPr>
          <w:b/>
          <w:bCs/>
        </w:rPr>
        <w:t>Tiaré</w:t>
      </w:r>
      <w:proofErr w:type="spellEnd"/>
      <w:r>
        <w:t xml:space="preserve">. En tahitiano </w:t>
      </w:r>
      <w:proofErr w:type="spellStart"/>
      <w:r>
        <w:rPr>
          <w:i/>
          <w:iCs/>
        </w:rPr>
        <w:t>tiare</w:t>
      </w:r>
      <w:proofErr w:type="spellEnd"/>
      <w:r>
        <w:t xml:space="preserve"> es </w:t>
      </w:r>
      <w:hyperlink r:id="rId196" w:tooltip="Flor" w:history="1">
        <w:r>
          <w:rPr>
            <w:rStyle w:val="Hipervnculo"/>
          </w:rPr>
          <w:t>flor</w:t>
        </w:r>
      </w:hyperlink>
      <w:r>
        <w:t xml:space="preserve"> en general. Internacionalmente se utiliza para la </w:t>
      </w:r>
      <w:proofErr w:type="spellStart"/>
      <w:r>
        <w:t>tiare</w:t>
      </w:r>
      <w:proofErr w:type="spellEnd"/>
      <w:r>
        <w:t xml:space="preserve"> </w:t>
      </w:r>
      <w:proofErr w:type="spellStart"/>
      <w:r>
        <w:t>tahití</w:t>
      </w:r>
      <w:proofErr w:type="spellEnd"/>
      <w:r>
        <w:t xml:space="preserve"> (</w:t>
      </w:r>
      <w:hyperlink r:id="rId197" w:tooltip="Gardenia tahitensis" w:history="1">
        <w:r>
          <w:rPr>
            <w:rStyle w:val="Hipervnculo"/>
            <w:i/>
            <w:iCs/>
          </w:rPr>
          <w:t xml:space="preserve">Gardenia </w:t>
        </w:r>
        <w:proofErr w:type="spellStart"/>
        <w:r>
          <w:rPr>
            <w:rStyle w:val="Hipervnculo"/>
            <w:i/>
            <w:iCs/>
          </w:rPr>
          <w:t>tahitensis</w:t>
        </w:r>
        <w:proofErr w:type="spellEnd"/>
      </w:hyperlink>
      <w:r>
        <w:t>), considerada el emblema de Tahití.</w:t>
      </w:r>
    </w:p>
    <w:p w:rsidR="004E7E54" w:rsidRDefault="004E7E54" w:rsidP="004E7E54">
      <w:pPr>
        <w:pStyle w:val="Ttulo2"/>
      </w:pPr>
      <w:r>
        <w:rPr>
          <w:rStyle w:val="mw-headline"/>
        </w:rPr>
        <w:t>Referencia</w:t>
      </w:r>
    </w:p>
    <w:p w:rsidR="00F419D2" w:rsidRDefault="00F419D2" w:rsidP="00F419D2">
      <w:pPr>
        <w:jc w:val="center"/>
        <w:rPr>
          <w:color w:val="FF0000"/>
          <w:sz w:val="40"/>
          <w:szCs w:val="40"/>
        </w:rPr>
      </w:pPr>
    </w:p>
    <w:p w:rsidR="00F419D2" w:rsidRDefault="00F419D2" w:rsidP="00F419D2">
      <w:pPr>
        <w:jc w:val="center"/>
        <w:rPr>
          <w:color w:val="FF0000"/>
          <w:sz w:val="40"/>
          <w:szCs w:val="40"/>
        </w:rPr>
      </w:pPr>
    </w:p>
    <w:p w:rsidR="00F419D2" w:rsidRDefault="00F419D2" w:rsidP="00F419D2">
      <w:pPr>
        <w:jc w:val="center"/>
        <w:rPr>
          <w:color w:val="FF0000"/>
          <w:sz w:val="40"/>
          <w:szCs w:val="40"/>
        </w:rPr>
      </w:pPr>
    </w:p>
    <w:p w:rsidR="00F419D2" w:rsidRDefault="00F419D2" w:rsidP="00F419D2">
      <w:pPr>
        <w:jc w:val="center"/>
        <w:rPr>
          <w:color w:val="FF0000"/>
          <w:sz w:val="40"/>
          <w:szCs w:val="40"/>
        </w:rPr>
      </w:pPr>
    </w:p>
    <w:p w:rsidR="00F419D2" w:rsidRDefault="00F419D2" w:rsidP="00F419D2">
      <w:pPr>
        <w:pStyle w:val="Ttulo3"/>
      </w:pPr>
      <w:r>
        <w:rPr>
          <w:rStyle w:val="mw-headline"/>
        </w:rPr>
        <w:t>Cultura</w:t>
      </w:r>
    </w:p>
    <w:p w:rsidR="00F419D2" w:rsidRDefault="00F419D2" w:rsidP="00F419D2">
      <w:pPr>
        <w:pStyle w:val="NormalWeb"/>
      </w:pPr>
      <w:r>
        <w:t xml:space="preserve">El pintor francés </w:t>
      </w:r>
      <w:hyperlink r:id="rId198" w:tooltip="Paul Gauguin" w:history="1">
        <w:r>
          <w:rPr>
            <w:rStyle w:val="Hipervnculo"/>
          </w:rPr>
          <w:t>Paul Gauguin</w:t>
        </w:r>
      </w:hyperlink>
      <w:r>
        <w:t xml:space="preserve"> vivió en Tahití en los </w:t>
      </w:r>
      <w:hyperlink r:id="rId199" w:tooltip="Años 1890" w:history="1">
        <w:r>
          <w:rPr>
            <w:rStyle w:val="Hipervnculo"/>
          </w:rPr>
          <w:t>años 1890</w:t>
        </w:r>
      </w:hyperlink>
      <w:r>
        <w:t xml:space="preserve">, plasmando en sus obras los paisajes y la gente de la isla. Hoy, la villa de </w:t>
      </w:r>
      <w:proofErr w:type="spellStart"/>
      <w:r>
        <w:t>Papeari</w:t>
      </w:r>
      <w:proofErr w:type="spellEnd"/>
      <w:r>
        <w:t xml:space="preserve"> tiene un pequeño museo con obras de Gauguin.</w:t>
      </w:r>
    </w:p>
    <w:p w:rsidR="00F419D2" w:rsidRDefault="00FE7F35" w:rsidP="00F419D2">
      <w:hyperlink r:id="rId200" w:history="1">
        <w:r w:rsidRPr="00FE7F35">
          <w:rPr>
            <w:color w:val="0000FF"/>
          </w:rPr>
          <w:pict>
            <v:shape id="_x0000_i1029" type="#_x0000_t75" alt="" href="https://commons.wikimedia.org/wiki/File:Paul_Gauguin_056.jpg" style="width:187.5pt;height:139.5pt" o:button="t"/>
          </w:pict>
        </w:r>
      </w:hyperlink>
    </w:p>
    <w:p w:rsidR="00F419D2" w:rsidRDefault="00F419D2" w:rsidP="00F419D2">
      <w:r>
        <w:t xml:space="preserve">Mujeres tahitianas en una pintura de </w:t>
      </w:r>
      <w:hyperlink r:id="rId201" w:tooltip="Paul Gauguin" w:history="1">
        <w:r>
          <w:rPr>
            <w:rStyle w:val="Hipervnculo"/>
          </w:rPr>
          <w:t>Paul Gauguin</w:t>
        </w:r>
      </w:hyperlink>
      <w:r>
        <w:t>, 1891.</w:t>
      </w:r>
    </w:p>
    <w:p w:rsidR="00F419D2" w:rsidRDefault="00F419D2" w:rsidP="00F419D2">
      <w:pPr>
        <w:pStyle w:val="NormalWeb"/>
      </w:pPr>
      <w:r>
        <w:t xml:space="preserve">Tahití posee una universidad, la </w:t>
      </w:r>
      <w:proofErr w:type="spellStart"/>
      <w:r>
        <w:rPr>
          <w:b/>
          <w:bCs/>
          <w:i/>
          <w:iCs/>
        </w:rPr>
        <w:t>Université</w:t>
      </w:r>
      <w:proofErr w:type="spellEnd"/>
      <w:r>
        <w:rPr>
          <w:b/>
          <w:bCs/>
          <w:i/>
          <w:iCs/>
        </w:rPr>
        <w:t xml:space="preserve"> de la </w:t>
      </w:r>
      <w:proofErr w:type="spellStart"/>
      <w:r>
        <w:rPr>
          <w:b/>
          <w:bCs/>
          <w:i/>
          <w:iCs/>
        </w:rPr>
        <w:t>Polynésie</w:t>
      </w:r>
      <w:proofErr w:type="spellEnd"/>
      <w:r>
        <w:rPr>
          <w:b/>
          <w:bCs/>
          <w:i/>
          <w:iCs/>
        </w:rPr>
        <w:t xml:space="preserve"> </w:t>
      </w:r>
      <w:proofErr w:type="spellStart"/>
      <w:r>
        <w:rPr>
          <w:b/>
          <w:bCs/>
          <w:i/>
          <w:iCs/>
        </w:rPr>
        <w:t>Française</w:t>
      </w:r>
      <w:proofErr w:type="spellEnd"/>
      <w:r>
        <w:t>.</w:t>
      </w:r>
    </w:p>
    <w:p w:rsidR="00F419D2" w:rsidRDefault="00F419D2" w:rsidP="00F419D2">
      <w:pPr>
        <w:pStyle w:val="NormalWeb"/>
      </w:pPr>
      <w:r>
        <w:rPr>
          <w:b/>
          <w:bCs/>
        </w:rPr>
        <w:t xml:space="preserve">El </w:t>
      </w:r>
      <w:proofErr w:type="spellStart"/>
      <w:r>
        <w:rPr>
          <w:b/>
          <w:bCs/>
        </w:rPr>
        <w:t>Heiva</w:t>
      </w:r>
      <w:proofErr w:type="spellEnd"/>
      <w:r>
        <w:rPr>
          <w:b/>
          <w:bCs/>
        </w:rPr>
        <w:t xml:space="preserve"> de Tahití</w:t>
      </w:r>
      <w:r>
        <w:t xml:space="preserve"> .</w:t>
      </w:r>
    </w:p>
    <w:p w:rsidR="00F419D2" w:rsidRDefault="00F419D2" w:rsidP="00F419D2">
      <w:pPr>
        <w:pStyle w:val="NormalWeb"/>
      </w:pPr>
      <w:r>
        <w:t xml:space="preserve">Son muy numerosas las tradiciones existente en la cultura </w:t>
      </w:r>
      <w:proofErr w:type="spellStart"/>
      <w:r>
        <w:t>maohi</w:t>
      </w:r>
      <w:proofErr w:type="spellEnd"/>
      <w:r>
        <w:t xml:space="preserve">. Las leyendas isleña representan la historia de la cultura y la isla, a través de numerosos cuentos. El mes de julio es propicio al descubrimiento de estas tradiciones puesto que se organizan numerosas manifestaciones culturales en el marco o al margen del </w:t>
      </w:r>
      <w:proofErr w:type="spellStart"/>
      <w:r>
        <w:t>He</w:t>
      </w:r>
      <w:r>
        <w:t>i</w:t>
      </w:r>
      <w:r>
        <w:t>va</w:t>
      </w:r>
      <w:proofErr w:type="spellEnd"/>
      <w:r>
        <w:t xml:space="preserve">. El </w:t>
      </w:r>
      <w:proofErr w:type="spellStart"/>
      <w:r>
        <w:t>Heiva</w:t>
      </w:r>
      <w:proofErr w:type="spellEnd"/>
      <w:r>
        <w:t xml:space="preserve"> de Tahití es el mayor festival cultural de la Polinesia francesa, y agrupa competiciones de ca</w:t>
      </w:r>
      <w:r>
        <w:t>n</w:t>
      </w:r>
      <w:r>
        <w:t xml:space="preserve">tos y danzas, así como competiciones deportivas y artesanales (preparación de la copra, trenzado, </w:t>
      </w:r>
      <w:proofErr w:type="spellStart"/>
      <w:r>
        <w:t>etc</w:t>
      </w:r>
      <w:proofErr w:type="spellEnd"/>
      <w:r>
        <w:t xml:space="preserve">). El </w:t>
      </w:r>
      <w:proofErr w:type="spellStart"/>
      <w:r>
        <w:t>Heiva</w:t>
      </w:r>
      <w:proofErr w:type="spellEnd"/>
      <w:r>
        <w:t xml:space="preserve"> de Tahití </w:t>
      </w:r>
      <w:proofErr w:type="spellStart"/>
      <w:r>
        <w:t>ptencia</w:t>
      </w:r>
      <w:proofErr w:type="spellEnd"/>
      <w:r>
        <w:t xml:space="preserve"> y recuerda la artesanía del conjunto de los archipiélagos polinesios, a través de e</w:t>
      </w:r>
      <w:r>
        <w:t>x</w:t>
      </w:r>
      <w:r>
        <w:t xml:space="preserve">posiciones y demostraciones. Cada mes de julio, el Festival de </w:t>
      </w:r>
      <w:proofErr w:type="spellStart"/>
      <w:r>
        <w:t>Heiva</w:t>
      </w:r>
      <w:proofErr w:type="spellEnd"/>
      <w:r>
        <w:t xml:space="preserve"> en Papeete celebra la cultura polinésica y la conmemoración de la </w:t>
      </w:r>
      <w:hyperlink r:id="rId202" w:anchor="Toma_de_la_Bastilla" w:tooltip="Bastilla" w:history="1">
        <w:r>
          <w:rPr>
            <w:rStyle w:val="Hipervnculo"/>
          </w:rPr>
          <w:t>toma de la Bastilla</w:t>
        </w:r>
      </w:hyperlink>
      <w:r>
        <w:t xml:space="preserve"> en Francia.</w:t>
      </w:r>
    </w:p>
    <w:p w:rsidR="00F419D2" w:rsidRDefault="00F419D2" w:rsidP="00F419D2">
      <w:pPr>
        <w:pStyle w:val="NormalWeb"/>
      </w:pPr>
      <w:r>
        <w:t xml:space="preserve">El cultivo de </w:t>
      </w:r>
      <w:hyperlink r:id="rId203" w:tooltip="Perla" w:history="1">
        <w:r>
          <w:rPr>
            <w:rStyle w:val="Hipervnculo"/>
          </w:rPr>
          <w:t>perlas</w:t>
        </w:r>
      </w:hyperlink>
      <w:r>
        <w:t xml:space="preserve"> negras es también una fuente sustancial de ingresos. La mayoría de las perlas son expo</w:t>
      </w:r>
      <w:r>
        <w:t>r</w:t>
      </w:r>
      <w:r>
        <w:t>tadas a Japón, Europa y los Estados Unidos.</w:t>
      </w:r>
    </w:p>
    <w:p w:rsidR="00F419D2" w:rsidRDefault="00F419D2" w:rsidP="00F419D2">
      <w:pPr>
        <w:pStyle w:val="NormalWeb"/>
      </w:pPr>
      <w:r>
        <w:t xml:space="preserve">Recientemente, ha surgido una fuerte presión por revivir el modo de vida más tradicional de antaño y por redescubrir las costumbres culturales. Los </w:t>
      </w:r>
      <w:hyperlink r:id="rId204" w:tooltip="Instrumento musical" w:history="1">
        <w:r>
          <w:rPr>
            <w:rStyle w:val="Hipervnculo"/>
          </w:rPr>
          <w:t>instrumentos musicales</w:t>
        </w:r>
      </w:hyperlink>
      <w:r>
        <w:t xml:space="preserve"> tradicionales incluyen el </w:t>
      </w:r>
      <w:proofErr w:type="spellStart"/>
      <w:r>
        <w:rPr>
          <w:i/>
          <w:iCs/>
        </w:rPr>
        <w:t>pahu</w:t>
      </w:r>
      <w:proofErr w:type="spellEnd"/>
      <w:r>
        <w:t xml:space="preserve">, los </w:t>
      </w:r>
      <w:proofErr w:type="spellStart"/>
      <w:r>
        <w:rPr>
          <w:i/>
          <w:iCs/>
        </w:rPr>
        <w:t>toere</w:t>
      </w:r>
      <w:proofErr w:type="spellEnd"/>
      <w:r>
        <w:t xml:space="preserve"> (</w:t>
      </w:r>
      <w:hyperlink r:id="rId205" w:tooltip="Tambor" w:history="1">
        <w:r>
          <w:rPr>
            <w:rStyle w:val="Hipervnculo"/>
          </w:rPr>
          <w:t>tambores</w:t>
        </w:r>
      </w:hyperlink>
      <w:r>
        <w:t xml:space="preserve">), y el </w:t>
      </w:r>
      <w:r>
        <w:rPr>
          <w:i/>
          <w:iCs/>
        </w:rPr>
        <w:t>vivo</w:t>
      </w:r>
      <w:r>
        <w:t xml:space="preserve"> (especie de </w:t>
      </w:r>
      <w:hyperlink r:id="rId206" w:tooltip="Flauta" w:history="1">
        <w:r>
          <w:rPr>
            <w:rStyle w:val="Hipervnculo"/>
          </w:rPr>
          <w:t>flauta</w:t>
        </w:r>
      </w:hyperlink>
      <w:r>
        <w:t xml:space="preserve"> nasal). Las guitarras y </w:t>
      </w:r>
      <w:hyperlink r:id="rId207" w:tooltip="Ukelele" w:history="1">
        <w:r>
          <w:rPr>
            <w:rStyle w:val="Hipervnculo"/>
          </w:rPr>
          <w:t>ukeleles</w:t>
        </w:r>
      </w:hyperlink>
      <w:r>
        <w:t xml:space="preserve"> fueron introducidos por los europeos, pero se han incorporado al </w:t>
      </w:r>
      <w:hyperlink r:id="rId208" w:tooltip="Folklore" w:history="1">
        <w:r>
          <w:rPr>
            <w:rStyle w:val="Hipervnculo"/>
          </w:rPr>
          <w:t>folklore</w:t>
        </w:r>
      </w:hyperlink>
      <w:r>
        <w:t xml:space="preserve"> local que tiene bastante similitud con la música popular de </w:t>
      </w:r>
      <w:hyperlink r:id="rId209" w:tooltip="Hawái" w:history="1">
        <w:r>
          <w:rPr>
            <w:rStyle w:val="Hipervnculo"/>
          </w:rPr>
          <w:t>Hawái</w:t>
        </w:r>
      </w:hyperlink>
      <w:r>
        <w:t>, deb</w:t>
      </w:r>
      <w:r>
        <w:t>i</w:t>
      </w:r>
      <w:r>
        <w:t>do a que se trata de dos culturas muy emparentadas en el idioma y en las costumbres. La indumentaria típica para bailar (</w:t>
      </w:r>
      <w:proofErr w:type="spellStart"/>
      <w:r>
        <w:rPr>
          <w:i/>
          <w:iCs/>
        </w:rPr>
        <w:t>tamure</w:t>
      </w:r>
      <w:proofErr w:type="spellEnd"/>
      <w:r>
        <w:t xml:space="preserve">) ha vuelto a aparecer en la vida de los polinesios, pero, lamentablemente, el arte de hacer </w:t>
      </w:r>
      <w:r>
        <w:rPr>
          <w:i/>
          <w:iCs/>
        </w:rPr>
        <w:t>tapa</w:t>
      </w:r>
      <w:r>
        <w:t xml:space="preserve"> (papel de corteza y ropa), practicado en todo el Pacífico, ya casi no se utiliza.</w:t>
      </w:r>
    </w:p>
    <w:p w:rsidR="00F419D2" w:rsidRDefault="00FE7F35" w:rsidP="00F419D2">
      <w:hyperlink r:id="rId210" w:history="1">
        <w:r w:rsidRPr="00FE7F35">
          <w:rPr>
            <w:color w:val="0000FF"/>
          </w:rPr>
          <w:pict>
            <v:shape id="_x0000_i1030" type="#_x0000_t75" alt="" href="https://commons.wikimedia.org/wiki/File:Papeete_-_Lagon.JPG" style="width:187.5pt;height:125.25pt" o:button="t"/>
          </w:pict>
        </w:r>
      </w:hyperlink>
    </w:p>
    <w:p w:rsidR="00F419D2" w:rsidRDefault="00F419D2" w:rsidP="00F419D2">
      <w:r>
        <w:t>la laguna y costa de Papeete.</w:t>
      </w:r>
    </w:p>
    <w:p w:rsidR="00F419D2" w:rsidRDefault="00F419D2" w:rsidP="00F419D2">
      <w:pPr>
        <w:pStyle w:val="NormalWeb"/>
      </w:pPr>
      <w:r>
        <w:rPr>
          <w:b/>
          <w:bCs/>
        </w:rPr>
        <w:lastRenderedPageBreak/>
        <w:t>El museo de Tahití y las Islas</w:t>
      </w:r>
      <w:r>
        <w:t xml:space="preserve"> Creado en 1974 y situado a </w:t>
      </w:r>
      <w:proofErr w:type="spellStart"/>
      <w:r>
        <w:t>Punaauia</w:t>
      </w:r>
      <w:proofErr w:type="spellEnd"/>
      <w:r>
        <w:t>, valoriza y presenta el patrimonio nat</w:t>
      </w:r>
      <w:r>
        <w:t>u</w:t>
      </w:r>
      <w:r>
        <w:t xml:space="preserve">ral y cultural polinesio. Gracias a su asociación con el museo del muelle </w:t>
      </w:r>
      <w:proofErr w:type="spellStart"/>
      <w:r>
        <w:t>Branly</w:t>
      </w:r>
      <w:proofErr w:type="spellEnd"/>
      <w:r>
        <w:t>, participa en la proyección internacional del patrimonio cultural polinesio.</w:t>
      </w:r>
    </w:p>
    <w:p w:rsidR="00F419D2" w:rsidRDefault="00F419D2" w:rsidP="00F419D2">
      <w:pPr>
        <w:pStyle w:val="Ttulo3"/>
      </w:pPr>
      <w:r>
        <w:rPr>
          <w:rStyle w:val="mw-headline"/>
        </w:rPr>
        <w:t>Idiomas</w:t>
      </w:r>
    </w:p>
    <w:p w:rsidR="00F419D2" w:rsidRDefault="00F419D2" w:rsidP="00F419D2">
      <w:pPr>
        <w:jc w:val="center"/>
        <w:rPr>
          <w:color w:val="FF0000"/>
          <w:sz w:val="40"/>
          <w:szCs w:val="40"/>
        </w:rPr>
      </w:pPr>
      <w:r>
        <w:t>Aunque el francés sea la única lengua oficial de la Polinesia francesa, la gran mayoría de la p</w:t>
      </w:r>
      <w:r>
        <w:t>o</w:t>
      </w:r>
      <w:r>
        <w:t>blación es bilingüe, hablando a la vez francés y tahitiano (</w:t>
      </w:r>
      <w:r>
        <w:rPr>
          <w:i/>
          <w:iCs/>
        </w:rPr>
        <w:t xml:space="preserve">reo </w:t>
      </w:r>
      <w:proofErr w:type="spellStart"/>
      <w:r>
        <w:rPr>
          <w:i/>
          <w:iCs/>
        </w:rPr>
        <w:t>maohi</w:t>
      </w:r>
      <w:proofErr w:type="spellEnd"/>
      <w:r>
        <w:t>).De manera general, Tahití habla un poco más francés y algo menos tahitiano que el conjunto de Polinesia. Esta diferencia se explica sobre todo por el mayor número de metropolitanos y extranjeros sobre esta isla. Según el censo del 2007,78,4% de la población de la isla hablan el francés en el núcleo familiar, mientras que 20,1% utilizan alguna lengua polinesia (generalmente el tahitiano). Esta media oculta sin e</w:t>
      </w:r>
      <w:r>
        <w:t>m</w:t>
      </w:r>
      <w:r>
        <w:t xml:space="preserve">bargo una realidad más contrastada. Así pues, el tahitiano se habla aún más sobre la vertiente Este de Tahití </w:t>
      </w:r>
      <w:proofErr w:type="spellStart"/>
      <w:r>
        <w:t>Nui</w:t>
      </w:r>
      <w:proofErr w:type="spellEnd"/>
      <w:r>
        <w:t xml:space="preserve"> (municipio de </w:t>
      </w:r>
      <w:proofErr w:type="spellStart"/>
      <w:r>
        <w:t>Hitia'a</w:t>
      </w:r>
      <w:proofErr w:type="spellEnd"/>
      <w:r>
        <w:t xml:space="preserve"> O Te Ra) y sobre la península (municipios de </w:t>
      </w:r>
      <w:proofErr w:type="spellStart"/>
      <w:r>
        <w:t>Tai'arapū</w:t>
      </w:r>
      <w:proofErr w:type="spellEnd"/>
      <w:r>
        <w:t xml:space="preserve">-Este y de </w:t>
      </w:r>
      <w:proofErr w:type="spellStart"/>
      <w:r>
        <w:t>Tai'arapū</w:t>
      </w:r>
      <w:proofErr w:type="spellEnd"/>
      <w:r>
        <w:t xml:space="preserve"> Oeste), donde ese usa coloquialmente por parte del 35% de la población. Si a Tahití, el tahitiano no es ya la primera lengua utilizada en el ámbito familiar, sigue siendo sin e</w:t>
      </w:r>
      <w:r>
        <w:t>m</w:t>
      </w:r>
      <w:r>
        <w:t>bargo extendida. En efecto, aunque un 16,5% de la población de la isla no tienen ningún conoc</w:t>
      </w:r>
      <w:r>
        <w:t>i</w:t>
      </w:r>
      <w:r>
        <w:t xml:space="preserve">miento del idioma, el </w:t>
      </w:r>
      <w:r>
        <w:rPr>
          <w:i/>
          <w:iCs/>
        </w:rPr>
        <w:t xml:space="preserve">reo </w:t>
      </w:r>
      <w:proofErr w:type="spellStart"/>
      <w:r>
        <w:rPr>
          <w:i/>
          <w:iCs/>
        </w:rPr>
        <w:t>maohi</w:t>
      </w:r>
      <w:proofErr w:type="spellEnd"/>
      <w:r>
        <w:t xml:space="preserve"> es conocido perfectamente por un 70% de los tahitianos, y puede ser hablado por cerca de un 80%.</w:t>
      </w:r>
    </w:p>
    <w:p w:rsidR="00132C6A" w:rsidRPr="00577CA3" w:rsidRDefault="00F419D2" w:rsidP="00F419D2">
      <w:pPr>
        <w:jc w:val="center"/>
        <w:rPr>
          <w:b/>
          <w:sz w:val="28"/>
          <w:szCs w:val="28"/>
        </w:rPr>
      </w:pPr>
      <w:r>
        <w:rPr>
          <w:color w:val="FF0000"/>
          <w:sz w:val="40"/>
          <w:szCs w:val="40"/>
        </w:rPr>
        <w:t xml:space="preserve">  </w:t>
      </w:r>
    </w:p>
    <w:p w:rsidR="00F419D2" w:rsidRDefault="00F419D2" w:rsidP="00F419D2">
      <w:pPr>
        <w:pStyle w:val="NormalWeb"/>
      </w:pPr>
      <w:r>
        <w:rPr>
          <w:b/>
          <w:bCs/>
        </w:rPr>
        <w:t>ahití</w:t>
      </w:r>
      <w:hyperlink r:id="rId211" w:anchor="cite_note-2" w:history="1">
        <w:r>
          <w:rPr>
            <w:rStyle w:val="Hipervnculo"/>
            <w:vertAlign w:val="superscript"/>
          </w:rPr>
          <w:t>2</w:t>
        </w:r>
      </w:hyperlink>
      <w:r>
        <w:t xml:space="preserve"> (históricamente llamada </w:t>
      </w:r>
      <w:proofErr w:type="spellStart"/>
      <w:r>
        <w:rPr>
          <w:b/>
          <w:bCs/>
          <w:i/>
          <w:iCs/>
        </w:rPr>
        <w:t>Otaheite</w:t>
      </w:r>
      <w:proofErr w:type="spellEnd"/>
      <w:r>
        <w:t xml:space="preserve"> y antiguamente, en España, conocida como la </w:t>
      </w:r>
      <w:r>
        <w:rPr>
          <w:b/>
          <w:bCs/>
          <w:i/>
          <w:iCs/>
        </w:rPr>
        <w:t xml:space="preserve">Isla de </w:t>
      </w:r>
      <w:hyperlink r:id="rId212" w:tooltip="Manuel de Amat y Junyent" w:history="1">
        <w:r>
          <w:rPr>
            <w:rStyle w:val="Hipervnculo"/>
            <w:b/>
            <w:bCs/>
            <w:i/>
            <w:iCs/>
          </w:rPr>
          <w:t xml:space="preserve">Manuel de Amat y </w:t>
        </w:r>
        <w:proofErr w:type="spellStart"/>
        <w:r>
          <w:rPr>
            <w:rStyle w:val="Hipervnculo"/>
            <w:b/>
            <w:bCs/>
            <w:i/>
            <w:iCs/>
          </w:rPr>
          <w:t>Junyent</w:t>
        </w:r>
        <w:proofErr w:type="spellEnd"/>
      </w:hyperlink>
      <w:r>
        <w:t xml:space="preserve">) es la </w:t>
      </w:r>
      <w:hyperlink r:id="rId213" w:tooltip="Isla" w:history="1">
        <w:r>
          <w:rPr>
            <w:rStyle w:val="Hipervnculo"/>
          </w:rPr>
          <w:t>isla</w:t>
        </w:r>
      </w:hyperlink>
      <w:r>
        <w:t xml:space="preserve"> más grande de la </w:t>
      </w:r>
      <w:hyperlink r:id="rId214" w:tooltip="Polinesia Francesa" w:history="1">
        <w:r>
          <w:rPr>
            <w:rStyle w:val="Hipervnculo"/>
          </w:rPr>
          <w:t>Polinesia Francesa</w:t>
        </w:r>
      </w:hyperlink>
      <w:r>
        <w:t xml:space="preserve">, un territorio de </w:t>
      </w:r>
      <w:hyperlink r:id="rId215" w:tooltip="Ultramar" w:history="1">
        <w:r>
          <w:rPr>
            <w:rStyle w:val="Hipervnculo"/>
          </w:rPr>
          <w:t>ultramar</w:t>
        </w:r>
      </w:hyperlink>
      <w:r>
        <w:t xml:space="preserve"> </w:t>
      </w:r>
      <w:hyperlink r:id="rId216" w:tooltip="Francia" w:history="1">
        <w:r>
          <w:rPr>
            <w:rStyle w:val="Hipervnculo"/>
          </w:rPr>
          <w:t>francés</w:t>
        </w:r>
      </w:hyperlink>
      <w:r>
        <w:t xml:space="preserve"> localizado en las </w:t>
      </w:r>
      <w:hyperlink r:id="rId217" w:tooltip="Islas de la Sociedad" w:history="1">
        <w:r>
          <w:rPr>
            <w:rStyle w:val="Hipervnculo"/>
          </w:rPr>
          <w:t>islas de la Sociedad</w:t>
        </w:r>
      </w:hyperlink>
      <w:r>
        <w:t xml:space="preserve">, en el sur del </w:t>
      </w:r>
      <w:hyperlink r:id="rId218" w:tooltip="Océano Pacífico" w:history="1">
        <w:r>
          <w:rPr>
            <w:rStyle w:val="Hipervnculo"/>
          </w:rPr>
          <w:t>océano Pacífico</w:t>
        </w:r>
      </w:hyperlink>
      <w:r>
        <w:t xml:space="preserve">. Forma parte del grupo de las Islas de Barlovento, y del archipiélago de la Sociedad. Esta alta isla y montañosa, de origen volcánico, está rodeada con un arrecife de coral. Su capital es </w:t>
      </w:r>
      <w:hyperlink r:id="rId219" w:tooltip="Papeete" w:history="1">
        <w:r>
          <w:rPr>
            <w:rStyle w:val="Hipervnculo"/>
          </w:rPr>
          <w:t>Papeete</w:t>
        </w:r>
      </w:hyperlink>
      <w:r>
        <w:t xml:space="preserve"> y consiste principalmente en dos porciones de tierra conectadas por el </w:t>
      </w:r>
      <w:hyperlink r:id="rId220" w:tooltip="Istmo de Taravao (aún no redactado)" w:history="1">
        <w:r>
          <w:rPr>
            <w:rStyle w:val="Hipervnculo"/>
          </w:rPr>
          <w:t xml:space="preserve">istmo de </w:t>
        </w:r>
        <w:proofErr w:type="spellStart"/>
        <w:r>
          <w:rPr>
            <w:rStyle w:val="Hipervnculo"/>
          </w:rPr>
          <w:t>Taravao</w:t>
        </w:r>
        <w:proofErr w:type="spellEnd"/>
      </w:hyperlink>
      <w:r>
        <w:t xml:space="preserve">: </w:t>
      </w:r>
      <w:proofErr w:type="spellStart"/>
      <w:r>
        <w:rPr>
          <w:i/>
          <w:iCs/>
        </w:rPr>
        <w:t>Tahiti</w:t>
      </w:r>
      <w:proofErr w:type="spellEnd"/>
      <w:r>
        <w:rPr>
          <w:i/>
          <w:iCs/>
        </w:rPr>
        <w:t xml:space="preserve"> </w:t>
      </w:r>
      <w:proofErr w:type="spellStart"/>
      <w:r>
        <w:rPr>
          <w:i/>
          <w:iCs/>
        </w:rPr>
        <w:t>Nui</w:t>
      </w:r>
      <w:proofErr w:type="spellEnd"/>
      <w:r>
        <w:t xml:space="preserve"> o Gran Tahití, ubicada al noroeste y </w:t>
      </w:r>
      <w:proofErr w:type="spellStart"/>
      <w:r>
        <w:rPr>
          <w:i/>
          <w:iCs/>
        </w:rPr>
        <w:t>Tahiti</w:t>
      </w:r>
      <w:proofErr w:type="spellEnd"/>
      <w:r>
        <w:rPr>
          <w:i/>
          <w:iCs/>
        </w:rPr>
        <w:t xml:space="preserve"> </w:t>
      </w:r>
      <w:proofErr w:type="spellStart"/>
      <w:r>
        <w:rPr>
          <w:i/>
          <w:iCs/>
        </w:rPr>
        <w:t>Iti</w:t>
      </w:r>
      <w:proofErr w:type="spellEnd"/>
      <w:r>
        <w:t xml:space="preserve"> o Pequeña Tahití, ubicada al sureste. En total el territorio comprende unos 1.042 km² y su punto más alto es el </w:t>
      </w:r>
      <w:hyperlink r:id="rId221" w:tooltip="Monte Orohena" w:history="1">
        <w:r>
          <w:rPr>
            <w:rStyle w:val="Hipervnculo"/>
          </w:rPr>
          <w:t xml:space="preserve">monte </w:t>
        </w:r>
        <w:proofErr w:type="spellStart"/>
        <w:r>
          <w:rPr>
            <w:rStyle w:val="Hipervnculo"/>
          </w:rPr>
          <w:t>Orohena</w:t>
        </w:r>
        <w:proofErr w:type="spellEnd"/>
      </w:hyperlink>
      <w:r>
        <w:t xml:space="preserve">. En una </w:t>
      </w:r>
      <w:hyperlink r:id="rId222" w:tooltip="Expediciones españolas a Tahití" w:history="1">
        <w:r>
          <w:rPr>
            <w:rStyle w:val="Hipervnculo"/>
          </w:rPr>
          <w:t>expedición española</w:t>
        </w:r>
      </w:hyperlink>
      <w:r>
        <w:t xml:space="preserve"> de 1774 el navegante </w:t>
      </w:r>
      <w:hyperlink r:id="rId223" w:tooltip="Domingo de Bonechea" w:history="1">
        <w:r>
          <w:rPr>
            <w:rStyle w:val="Hipervnculo"/>
          </w:rPr>
          <w:t xml:space="preserve">Domingo de </w:t>
        </w:r>
        <w:proofErr w:type="spellStart"/>
        <w:r>
          <w:rPr>
            <w:rStyle w:val="Hipervnculo"/>
          </w:rPr>
          <w:t>Bonechea</w:t>
        </w:r>
        <w:proofErr w:type="spellEnd"/>
      </w:hyperlink>
      <w:r>
        <w:t xml:space="preserve"> llegó a Tahití en una expedición organizada por el </w:t>
      </w:r>
      <w:hyperlink r:id="rId224" w:tooltip="Virrey del Perú" w:history="1">
        <w:r>
          <w:rPr>
            <w:rStyle w:val="Hipervnculo"/>
          </w:rPr>
          <w:t>Virrey del Perú</w:t>
        </w:r>
      </w:hyperlink>
      <w:r>
        <w:t xml:space="preserve">, </w:t>
      </w:r>
      <w:hyperlink r:id="rId225" w:tooltip="Manuel de Amat y Juniet" w:history="1">
        <w:r>
          <w:rPr>
            <w:rStyle w:val="Hipervnculo"/>
          </w:rPr>
          <w:t xml:space="preserve">Manuel de Amat y </w:t>
        </w:r>
        <w:proofErr w:type="spellStart"/>
        <w:r>
          <w:rPr>
            <w:rStyle w:val="Hipervnculo"/>
          </w:rPr>
          <w:t>Juniet</w:t>
        </w:r>
        <w:proofErr w:type="spellEnd"/>
      </w:hyperlink>
      <w:r>
        <w:t xml:space="preserve">, en honor del cual la bautizó "Isla de Amat". En </w:t>
      </w:r>
      <w:hyperlink r:id="rId226" w:tooltip="2002" w:history="1">
        <w:r>
          <w:rPr>
            <w:rStyle w:val="Hipervnculo"/>
          </w:rPr>
          <w:t>2002</w:t>
        </w:r>
      </w:hyperlink>
      <w:r>
        <w:t xml:space="preserve"> la isla tenía 169.674 habitantes, los cuales se dedican principalmente a la industria del </w:t>
      </w:r>
      <w:hyperlink r:id="rId227" w:tooltip="Turismo" w:history="1">
        <w:r>
          <w:rPr>
            <w:rStyle w:val="Hipervnculo"/>
          </w:rPr>
          <w:t>turismo</w:t>
        </w:r>
      </w:hyperlink>
      <w:r>
        <w:t xml:space="preserve">. La lengua oficial es el </w:t>
      </w:r>
      <w:hyperlink r:id="rId228" w:tooltip="Idioma francés" w:history="1">
        <w:r>
          <w:rPr>
            <w:rStyle w:val="Hipervnculo"/>
          </w:rPr>
          <w:t>francés</w:t>
        </w:r>
      </w:hyperlink>
      <w:r>
        <w:t>.</w:t>
      </w:r>
    </w:p>
    <w:p w:rsidR="00F419D2" w:rsidRDefault="00F419D2" w:rsidP="00F419D2">
      <w:pPr>
        <w:pStyle w:val="Ttulo2"/>
      </w:pPr>
      <w:r>
        <w:t>Índice</w:t>
      </w:r>
    </w:p>
    <w:p w:rsidR="00F419D2" w:rsidRDefault="00FE7F35" w:rsidP="00F419D2">
      <w:pPr>
        <w:widowControl/>
        <w:numPr>
          <w:ilvl w:val="0"/>
          <w:numId w:val="5"/>
        </w:numPr>
        <w:autoSpaceDE/>
        <w:autoSpaceDN/>
        <w:adjustRightInd/>
        <w:spacing w:before="100" w:beforeAutospacing="1" w:after="100" w:afterAutospacing="1"/>
      </w:pPr>
      <w:hyperlink r:id="rId229" w:anchor="Geograf.C3.ADa" w:history="1">
        <w:r w:rsidR="00F419D2">
          <w:rPr>
            <w:rStyle w:val="tocnumber"/>
            <w:color w:val="0000FF"/>
            <w:u w:val="single"/>
          </w:rPr>
          <w:t>1</w:t>
        </w:r>
        <w:r w:rsidR="00F419D2">
          <w:rPr>
            <w:rStyle w:val="Hipervnculo"/>
          </w:rPr>
          <w:t xml:space="preserve"> </w:t>
        </w:r>
        <w:r w:rsidR="00F419D2">
          <w:rPr>
            <w:rStyle w:val="toctext"/>
            <w:color w:val="0000FF"/>
            <w:u w:val="single"/>
          </w:rPr>
          <w:t>Geografía</w:t>
        </w:r>
      </w:hyperlink>
      <w:r w:rsidR="00F419D2">
        <w:t xml:space="preserve"> </w:t>
      </w:r>
    </w:p>
    <w:p w:rsidR="00F419D2" w:rsidRDefault="00FE7F35" w:rsidP="00F419D2">
      <w:pPr>
        <w:widowControl/>
        <w:numPr>
          <w:ilvl w:val="1"/>
          <w:numId w:val="5"/>
        </w:numPr>
        <w:autoSpaceDE/>
        <w:autoSpaceDN/>
        <w:adjustRightInd/>
        <w:spacing w:before="100" w:beforeAutospacing="1" w:after="100" w:afterAutospacing="1"/>
      </w:pPr>
      <w:hyperlink r:id="rId230" w:anchor="Poblaci.C3.B3n" w:history="1">
        <w:r w:rsidR="00F419D2">
          <w:rPr>
            <w:rStyle w:val="tocnumber"/>
            <w:color w:val="0000FF"/>
            <w:u w:val="single"/>
          </w:rPr>
          <w:t>1.1</w:t>
        </w:r>
        <w:r w:rsidR="00F419D2">
          <w:rPr>
            <w:rStyle w:val="Hipervnculo"/>
          </w:rPr>
          <w:t xml:space="preserve"> </w:t>
        </w:r>
        <w:r w:rsidR="00F419D2">
          <w:rPr>
            <w:rStyle w:val="toctext"/>
            <w:color w:val="0000FF"/>
            <w:u w:val="single"/>
          </w:rPr>
          <w:t>Población</w:t>
        </w:r>
      </w:hyperlink>
    </w:p>
    <w:p w:rsidR="00F419D2" w:rsidRDefault="00FE7F35" w:rsidP="00F419D2">
      <w:pPr>
        <w:widowControl/>
        <w:numPr>
          <w:ilvl w:val="1"/>
          <w:numId w:val="5"/>
        </w:numPr>
        <w:autoSpaceDE/>
        <w:autoSpaceDN/>
        <w:adjustRightInd/>
        <w:spacing w:before="100" w:beforeAutospacing="1" w:after="100" w:afterAutospacing="1"/>
      </w:pPr>
      <w:hyperlink r:id="rId231" w:anchor="Clima" w:history="1">
        <w:r w:rsidR="00F419D2">
          <w:rPr>
            <w:rStyle w:val="tocnumber"/>
            <w:color w:val="0000FF"/>
            <w:u w:val="single"/>
          </w:rPr>
          <w:t>1.2</w:t>
        </w:r>
        <w:r w:rsidR="00F419D2">
          <w:rPr>
            <w:rStyle w:val="Hipervnculo"/>
          </w:rPr>
          <w:t xml:space="preserve"> </w:t>
        </w:r>
        <w:r w:rsidR="00F419D2">
          <w:rPr>
            <w:rStyle w:val="toctext"/>
            <w:color w:val="0000FF"/>
            <w:u w:val="single"/>
          </w:rPr>
          <w:t>Clima</w:t>
        </w:r>
      </w:hyperlink>
    </w:p>
    <w:p w:rsidR="00F419D2" w:rsidRDefault="00FE7F35" w:rsidP="00F419D2">
      <w:pPr>
        <w:widowControl/>
        <w:numPr>
          <w:ilvl w:val="1"/>
          <w:numId w:val="5"/>
        </w:numPr>
        <w:autoSpaceDE/>
        <w:autoSpaceDN/>
        <w:adjustRightInd/>
        <w:spacing w:before="100" w:beforeAutospacing="1" w:after="100" w:afterAutospacing="1"/>
      </w:pPr>
      <w:hyperlink r:id="rId232" w:anchor="Paisajes_Tahit.C3.AD_y_Moorea." w:history="1">
        <w:r w:rsidR="00F419D2">
          <w:rPr>
            <w:rStyle w:val="tocnumber"/>
            <w:color w:val="0000FF"/>
            <w:u w:val="single"/>
          </w:rPr>
          <w:t>1.3</w:t>
        </w:r>
        <w:r w:rsidR="00F419D2">
          <w:rPr>
            <w:rStyle w:val="Hipervnculo"/>
          </w:rPr>
          <w:t xml:space="preserve"> </w:t>
        </w:r>
        <w:r w:rsidR="00F419D2">
          <w:rPr>
            <w:rStyle w:val="toctext"/>
            <w:color w:val="0000FF"/>
            <w:u w:val="single"/>
          </w:rPr>
          <w:t xml:space="preserve">Paisajes Tahití y </w:t>
        </w:r>
        <w:proofErr w:type="spellStart"/>
        <w:r w:rsidR="00F419D2">
          <w:rPr>
            <w:rStyle w:val="toctext"/>
            <w:color w:val="0000FF"/>
            <w:u w:val="single"/>
          </w:rPr>
          <w:t>Moorea</w:t>
        </w:r>
        <w:proofErr w:type="spellEnd"/>
        <w:r w:rsidR="00F419D2">
          <w:rPr>
            <w:rStyle w:val="toctext"/>
            <w:color w:val="0000FF"/>
            <w:u w:val="single"/>
          </w:rPr>
          <w:t>.</w:t>
        </w:r>
      </w:hyperlink>
    </w:p>
    <w:p w:rsidR="00F419D2" w:rsidRDefault="00FE7F35" w:rsidP="00F419D2">
      <w:pPr>
        <w:widowControl/>
        <w:numPr>
          <w:ilvl w:val="0"/>
          <w:numId w:val="5"/>
        </w:numPr>
        <w:autoSpaceDE/>
        <w:autoSpaceDN/>
        <w:adjustRightInd/>
        <w:spacing w:before="100" w:beforeAutospacing="1" w:after="100" w:afterAutospacing="1"/>
      </w:pPr>
      <w:hyperlink r:id="rId233" w:anchor="Comunicaciones_y_Transportes" w:history="1">
        <w:r w:rsidR="00F419D2">
          <w:rPr>
            <w:rStyle w:val="tocnumber"/>
            <w:color w:val="0000FF"/>
            <w:u w:val="single"/>
          </w:rPr>
          <w:t>2</w:t>
        </w:r>
        <w:r w:rsidR="00F419D2">
          <w:rPr>
            <w:rStyle w:val="Hipervnculo"/>
          </w:rPr>
          <w:t xml:space="preserve"> </w:t>
        </w:r>
        <w:r w:rsidR="00F419D2">
          <w:rPr>
            <w:rStyle w:val="toctext"/>
            <w:color w:val="0000FF"/>
            <w:u w:val="single"/>
          </w:rPr>
          <w:t>Comunicaciones y Transportes</w:t>
        </w:r>
      </w:hyperlink>
      <w:r w:rsidR="00F419D2">
        <w:t xml:space="preserve"> </w:t>
      </w:r>
    </w:p>
    <w:p w:rsidR="00F419D2" w:rsidRDefault="00FE7F35" w:rsidP="00F419D2">
      <w:pPr>
        <w:widowControl/>
        <w:numPr>
          <w:ilvl w:val="1"/>
          <w:numId w:val="5"/>
        </w:numPr>
        <w:autoSpaceDE/>
        <w:autoSpaceDN/>
        <w:adjustRightInd/>
        <w:spacing w:before="100" w:beforeAutospacing="1" w:after="100" w:afterAutospacing="1"/>
      </w:pPr>
      <w:hyperlink r:id="rId234" w:anchor="Aeropuerto_y_de_transporte_a.C3.A9reo" w:history="1">
        <w:r w:rsidR="00F419D2">
          <w:rPr>
            <w:rStyle w:val="tocnumber"/>
            <w:color w:val="0000FF"/>
            <w:u w:val="single"/>
          </w:rPr>
          <w:t>2.1</w:t>
        </w:r>
        <w:r w:rsidR="00F419D2">
          <w:rPr>
            <w:rStyle w:val="Hipervnculo"/>
          </w:rPr>
          <w:t xml:space="preserve"> </w:t>
        </w:r>
        <w:r w:rsidR="00F419D2">
          <w:rPr>
            <w:rStyle w:val="toctext"/>
            <w:color w:val="0000FF"/>
            <w:u w:val="single"/>
          </w:rPr>
          <w:t>Aeropuerto y de transporte aéreo</w:t>
        </w:r>
      </w:hyperlink>
    </w:p>
    <w:p w:rsidR="00F419D2" w:rsidRDefault="00FE7F35" w:rsidP="00F419D2">
      <w:pPr>
        <w:widowControl/>
        <w:numPr>
          <w:ilvl w:val="1"/>
          <w:numId w:val="5"/>
        </w:numPr>
        <w:autoSpaceDE/>
        <w:autoSpaceDN/>
        <w:adjustRightInd/>
        <w:spacing w:before="100" w:beforeAutospacing="1" w:after="100" w:afterAutospacing="1"/>
      </w:pPr>
      <w:hyperlink r:id="rId235" w:anchor="Navegaci.C3.B3n_mar.C3.ADtima" w:history="1">
        <w:r w:rsidR="00F419D2">
          <w:rPr>
            <w:rStyle w:val="tocnumber"/>
            <w:color w:val="0000FF"/>
            <w:u w:val="single"/>
          </w:rPr>
          <w:t>2.2</w:t>
        </w:r>
        <w:r w:rsidR="00F419D2">
          <w:rPr>
            <w:rStyle w:val="Hipervnculo"/>
          </w:rPr>
          <w:t xml:space="preserve"> </w:t>
        </w:r>
        <w:r w:rsidR="00F419D2">
          <w:rPr>
            <w:rStyle w:val="toctext"/>
            <w:color w:val="0000FF"/>
            <w:u w:val="single"/>
          </w:rPr>
          <w:t>Navegación marítima</w:t>
        </w:r>
      </w:hyperlink>
    </w:p>
    <w:p w:rsidR="00F419D2" w:rsidRDefault="00FE7F35" w:rsidP="00F419D2">
      <w:pPr>
        <w:widowControl/>
        <w:numPr>
          <w:ilvl w:val="1"/>
          <w:numId w:val="5"/>
        </w:numPr>
        <w:autoSpaceDE/>
        <w:autoSpaceDN/>
        <w:adjustRightInd/>
        <w:spacing w:before="100" w:beforeAutospacing="1" w:after="100" w:afterAutospacing="1"/>
      </w:pPr>
      <w:hyperlink r:id="rId236" w:anchor="Red_de_carreteras" w:history="1">
        <w:r w:rsidR="00F419D2">
          <w:rPr>
            <w:rStyle w:val="tocnumber"/>
            <w:color w:val="0000FF"/>
            <w:u w:val="single"/>
          </w:rPr>
          <w:t>2.3</w:t>
        </w:r>
        <w:r w:rsidR="00F419D2">
          <w:rPr>
            <w:rStyle w:val="Hipervnculo"/>
          </w:rPr>
          <w:t xml:space="preserve"> </w:t>
        </w:r>
        <w:r w:rsidR="00F419D2">
          <w:rPr>
            <w:rStyle w:val="toctext"/>
            <w:color w:val="0000FF"/>
            <w:u w:val="single"/>
          </w:rPr>
          <w:t>Red de carreteras</w:t>
        </w:r>
      </w:hyperlink>
    </w:p>
    <w:p w:rsidR="00F419D2" w:rsidRDefault="00FE7F35" w:rsidP="00F419D2">
      <w:pPr>
        <w:widowControl/>
        <w:numPr>
          <w:ilvl w:val="1"/>
          <w:numId w:val="5"/>
        </w:numPr>
        <w:autoSpaceDE/>
        <w:autoSpaceDN/>
        <w:adjustRightInd/>
        <w:spacing w:before="100" w:beforeAutospacing="1" w:after="100" w:afterAutospacing="1"/>
      </w:pPr>
      <w:hyperlink r:id="rId237" w:anchor="Transportes_p.C3.BAblicos_de_viajeros" w:history="1">
        <w:r w:rsidR="00F419D2">
          <w:rPr>
            <w:rStyle w:val="tocnumber"/>
            <w:color w:val="0000FF"/>
            <w:u w:val="single"/>
          </w:rPr>
          <w:t>2.4</w:t>
        </w:r>
        <w:r w:rsidR="00F419D2">
          <w:rPr>
            <w:rStyle w:val="Hipervnculo"/>
          </w:rPr>
          <w:t xml:space="preserve"> </w:t>
        </w:r>
        <w:r w:rsidR="00F419D2">
          <w:rPr>
            <w:rStyle w:val="toctext"/>
            <w:color w:val="0000FF"/>
            <w:u w:val="single"/>
          </w:rPr>
          <w:t>Transportes públicos de viajeros</w:t>
        </w:r>
      </w:hyperlink>
    </w:p>
    <w:p w:rsidR="00F419D2" w:rsidRDefault="00FE7F35" w:rsidP="00F419D2">
      <w:pPr>
        <w:widowControl/>
        <w:numPr>
          <w:ilvl w:val="0"/>
          <w:numId w:val="5"/>
        </w:numPr>
        <w:autoSpaceDE/>
        <w:autoSpaceDN/>
        <w:adjustRightInd/>
        <w:spacing w:before="100" w:beforeAutospacing="1" w:after="100" w:afterAutospacing="1"/>
      </w:pPr>
      <w:hyperlink r:id="rId238" w:anchor="Historia" w:history="1">
        <w:r w:rsidR="00F419D2">
          <w:rPr>
            <w:rStyle w:val="tocnumber"/>
            <w:color w:val="0000FF"/>
            <w:u w:val="single"/>
          </w:rPr>
          <w:t>3</w:t>
        </w:r>
        <w:r w:rsidR="00F419D2">
          <w:rPr>
            <w:rStyle w:val="Hipervnculo"/>
          </w:rPr>
          <w:t xml:space="preserve"> </w:t>
        </w:r>
        <w:r w:rsidR="00F419D2">
          <w:rPr>
            <w:rStyle w:val="toctext"/>
            <w:color w:val="0000FF"/>
            <w:u w:val="single"/>
          </w:rPr>
          <w:t>Historia</w:t>
        </w:r>
      </w:hyperlink>
      <w:r w:rsidR="00F419D2">
        <w:t xml:space="preserve"> </w:t>
      </w:r>
    </w:p>
    <w:p w:rsidR="00F419D2" w:rsidRDefault="00FE7F35" w:rsidP="00F419D2">
      <w:pPr>
        <w:widowControl/>
        <w:numPr>
          <w:ilvl w:val="1"/>
          <w:numId w:val="5"/>
        </w:numPr>
        <w:autoSpaceDE/>
        <w:autoSpaceDN/>
        <w:adjustRightInd/>
        <w:spacing w:before="100" w:beforeAutospacing="1" w:after="100" w:afterAutospacing="1"/>
      </w:pPr>
      <w:hyperlink r:id="rId239" w:anchor="Los_primeros_pobladores" w:history="1">
        <w:r w:rsidR="00F419D2">
          <w:rPr>
            <w:rStyle w:val="tocnumber"/>
            <w:color w:val="0000FF"/>
            <w:u w:val="single"/>
          </w:rPr>
          <w:t>3.1</w:t>
        </w:r>
        <w:r w:rsidR="00F419D2">
          <w:rPr>
            <w:rStyle w:val="Hipervnculo"/>
          </w:rPr>
          <w:t xml:space="preserve"> </w:t>
        </w:r>
        <w:r w:rsidR="00F419D2">
          <w:rPr>
            <w:rStyle w:val="toctext"/>
            <w:color w:val="0000FF"/>
            <w:u w:val="single"/>
          </w:rPr>
          <w:t>Los primeros pobladores</w:t>
        </w:r>
      </w:hyperlink>
    </w:p>
    <w:p w:rsidR="00F419D2" w:rsidRDefault="00FE7F35" w:rsidP="00F419D2">
      <w:pPr>
        <w:widowControl/>
        <w:numPr>
          <w:ilvl w:val="1"/>
          <w:numId w:val="5"/>
        </w:numPr>
        <w:autoSpaceDE/>
        <w:autoSpaceDN/>
        <w:adjustRightInd/>
        <w:spacing w:before="100" w:beforeAutospacing="1" w:after="100" w:afterAutospacing="1"/>
      </w:pPr>
      <w:hyperlink r:id="rId240" w:anchor="La_llegada_de_los_europeos" w:history="1">
        <w:r w:rsidR="00F419D2">
          <w:rPr>
            <w:rStyle w:val="tocnumber"/>
            <w:color w:val="0000FF"/>
            <w:u w:val="single"/>
          </w:rPr>
          <w:t>3.2</w:t>
        </w:r>
        <w:r w:rsidR="00F419D2">
          <w:rPr>
            <w:rStyle w:val="Hipervnculo"/>
          </w:rPr>
          <w:t xml:space="preserve"> </w:t>
        </w:r>
        <w:r w:rsidR="00F419D2">
          <w:rPr>
            <w:rStyle w:val="toctext"/>
            <w:color w:val="0000FF"/>
            <w:u w:val="single"/>
          </w:rPr>
          <w:t>La llegada de los europeos</w:t>
        </w:r>
      </w:hyperlink>
    </w:p>
    <w:p w:rsidR="00F419D2" w:rsidRDefault="00FE7F35" w:rsidP="00F419D2">
      <w:pPr>
        <w:widowControl/>
        <w:numPr>
          <w:ilvl w:val="1"/>
          <w:numId w:val="5"/>
        </w:numPr>
        <w:autoSpaceDE/>
        <w:autoSpaceDN/>
        <w:adjustRightInd/>
        <w:spacing w:before="100" w:beforeAutospacing="1" w:after="100" w:afterAutospacing="1"/>
      </w:pPr>
      <w:hyperlink r:id="rId241" w:anchor="La_influencia_brit.C3.A1nica_y_la_ascensi.C3.B3n_de_la_dinast.C3.ADa_Pomare" w:history="1">
        <w:r w:rsidR="00F419D2">
          <w:rPr>
            <w:rStyle w:val="tocnumber"/>
            <w:color w:val="0000FF"/>
            <w:u w:val="single"/>
          </w:rPr>
          <w:t>3.3</w:t>
        </w:r>
        <w:r w:rsidR="00F419D2">
          <w:rPr>
            <w:rStyle w:val="Hipervnculo"/>
          </w:rPr>
          <w:t xml:space="preserve"> </w:t>
        </w:r>
        <w:r w:rsidR="00F419D2">
          <w:rPr>
            <w:rStyle w:val="toctext"/>
            <w:color w:val="0000FF"/>
            <w:u w:val="single"/>
          </w:rPr>
          <w:t xml:space="preserve">La influencia británica y la ascensión de la dinastía </w:t>
        </w:r>
        <w:proofErr w:type="spellStart"/>
        <w:r w:rsidR="00F419D2">
          <w:rPr>
            <w:rStyle w:val="toctext"/>
            <w:color w:val="0000FF"/>
            <w:u w:val="single"/>
          </w:rPr>
          <w:t>Pomare</w:t>
        </w:r>
        <w:proofErr w:type="spellEnd"/>
      </w:hyperlink>
    </w:p>
    <w:p w:rsidR="00F419D2" w:rsidRDefault="00FE7F35" w:rsidP="00F419D2">
      <w:pPr>
        <w:widowControl/>
        <w:numPr>
          <w:ilvl w:val="1"/>
          <w:numId w:val="5"/>
        </w:numPr>
        <w:autoSpaceDE/>
        <w:autoSpaceDN/>
        <w:adjustRightInd/>
        <w:spacing w:before="100" w:beforeAutospacing="1" w:after="100" w:afterAutospacing="1"/>
      </w:pPr>
      <w:hyperlink r:id="rId242" w:anchor="El_protectorado_franc.C3.A9s_y_el_final_del_reino_de_la_dinast.C3.ADa_Pomare" w:history="1">
        <w:r w:rsidR="00F419D2">
          <w:rPr>
            <w:rStyle w:val="tocnumber"/>
            <w:color w:val="0000FF"/>
            <w:u w:val="single"/>
          </w:rPr>
          <w:t>3.4</w:t>
        </w:r>
        <w:r w:rsidR="00F419D2">
          <w:rPr>
            <w:rStyle w:val="Hipervnculo"/>
          </w:rPr>
          <w:t xml:space="preserve"> </w:t>
        </w:r>
        <w:r w:rsidR="00F419D2">
          <w:rPr>
            <w:rStyle w:val="toctext"/>
            <w:color w:val="0000FF"/>
            <w:u w:val="single"/>
          </w:rPr>
          <w:t xml:space="preserve">El protectorado francés y el final del reino de la dinastía </w:t>
        </w:r>
        <w:proofErr w:type="spellStart"/>
        <w:r w:rsidR="00F419D2">
          <w:rPr>
            <w:rStyle w:val="toctext"/>
            <w:color w:val="0000FF"/>
            <w:u w:val="single"/>
          </w:rPr>
          <w:t>Pomare</w:t>
        </w:r>
        <w:proofErr w:type="spellEnd"/>
      </w:hyperlink>
    </w:p>
    <w:p w:rsidR="00F419D2" w:rsidRDefault="00FE7F35" w:rsidP="00F419D2">
      <w:pPr>
        <w:widowControl/>
        <w:numPr>
          <w:ilvl w:val="1"/>
          <w:numId w:val="5"/>
        </w:numPr>
        <w:autoSpaceDE/>
        <w:autoSpaceDN/>
        <w:adjustRightInd/>
        <w:spacing w:before="100" w:beforeAutospacing="1" w:after="100" w:afterAutospacing="1"/>
      </w:pPr>
      <w:hyperlink r:id="rId243" w:anchor="Tahiti_y_su_historia_m.C3.A1s_reciente" w:history="1">
        <w:r w:rsidR="00F419D2">
          <w:rPr>
            <w:rStyle w:val="tocnumber"/>
            <w:color w:val="0000FF"/>
            <w:u w:val="single"/>
          </w:rPr>
          <w:t>3.5</w:t>
        </w:r>
        <w:r w:rsidR="00F419D2">
          <w:rPr>
            <w:rStyle w:val="Hipervnculo"/>
          </w:rPr>
          <w:t xml:space="preserve"> </w:t>
        </w:r>
        <w:proofErr w:type="spellStart"/>
        <w:r w:rsidR="00F419D2">
          <w:rPr>
            <w:rStyle w:val="toctext"/>
            <w:color w:val="0000FF"/>
            <w:u w:val="single"/>
          </w:rPr>
          <w:t>Tahiti</w:t>
        </w:r>
        <w:proofErr w:type="spellEnd"/>
        <w:r w:rsidR="00F419D2">
          <w:rPr>
            <w:rStyle w:val="toctext"/>
            <w:color w:val="0000FF"/>
            <w:u w:val="single"/>
          </w:rPr>
          <w:t xml:space="preserve"> y su historia más reciente</w:t>
        </w:r>
      </w:hyperlink>
    </w:p>
    <w:p w:rsidR="00F419D2" w:rsidRDefault="00FE7F35" w:rsidP="00F419D2">
      <w:pPr>
        <w:widowControl/>
        <w:numPr>
          <w:ilvl w:val="0"/>
          <w:numId w:val="5"/>
        </w:numPr>
        <w:autoSpaceDE/>
        <w:autoSpaceDN/>
        <w:adjustRightInd/>
        <w:spacing w:before="100" w:beforeAutospacing="1" w:after="100" w:afterAutospacing="1"/>
      </w:pPr>
      <w:hyperlink r:id="rId244" w:anchor="Tahit.C3.AD_en_la_actualidad" w:history="1">
        <w:r w:rsidR="00F419D2">
          <w:rPr>
            <w:rStyle w:val="tocnumber"/>
            <w:color w:val="0000FF"/>
            <w:u w:val="single"/>
          </w:rPr>
          <w:t>4</w:t>
        </w:r>
        <w:r w:rsidR="00F419D2">
          <w:rPr>
            <w:rStyle w:val="Hipervnculo"/>
          </w:rPr>
          <w:t xml:space="preserve"> </w:t>
        </w:r>
        <w:r w:rsidR="00F419D2">
          <w:rPr>
            <w:rStyle w:val="toctext"/>
            <w:color w:val="0000FF"/>
            <w:u w:val="single"/>
          </w:rPr>
          <w:t>Tahití en la actualidad</w:t>
        </w:r>
      </w:hyperlink>
      <w:r w:rsidR="00F419D2">
        <w:t xml:space="preserve"> </w:t>
      </w:r>
    </w:p>
    <w:p w:rsidR="00F419D2" w:rsidRDefault="00FE7F35" w:rsidP="00F419D2">
      <w:pPr>
        <w:widowControl/>
        <w:numPr>
          <w:ilvl w:val="1"/>
          <w:numId w:val="5"/>
        </w:numPr>
        <w:autoSpaceDE/>
        <w:autoSpaceDN/>
        <w:adjustRightInd/>
        <w:spacing w:before="100" w:beforeAutospacing="1" w:after="100" w:afterAutospacing="1"/>
      </w:pPr>
      <w:hyperlink r:id="rId245" w:anchor="Fauna.2C_Flora_y_patrimonio" w:history="1">
        <w:r w:rsidR="00F419D2">
          <w:rPr>
            <w:rStyle w:val="tocnumber"/>
            <w:color w:val="0000FF"/>
            <w:u w:val="single"/>
          </w:rPr>
          <w:t>4.1</w:t>
        </w:r>
        <w:r w:rsidR="00F419D2">
          <w:rPr>
            <w:rStyle w:val="Hipervnculo"/>
          </w:rPr>
          <w:t xml:space="preserve"> </w:t>
        </w:r>
        <w:r w:rsidR="00F419D2">
          <w:rPr>
            <w:rStyle w:val="toctext"/>
            <w:color w:val="0000FF"/>
            <w:u w:val="single"/>
          </w:rPr>
          <w:t>Fauna, Flora y patrimonio</w:t>
        </w:r>
      </w:hyperlink>
    </w:p>
    <w:p w:rsidR="00F419D2" w:rsidRDefault="00FE7F35" w:rsidP="00F419D2">
      <w:pPr>
        <w:widowControl/>
        <w:numPr>
          <w:ilvl w:val="1"/>
          <w:numId w:val="5"/>
        </w:numPr>
        <w:autoSpaceDE/>
        <w:autoSpaceDN/>
        <w:adjustRightInd/>
        <w:spacing w:before="100" w:beforeAutospacing="1" w:after="100" w:afterAutospacing="1"/>
      </w:pPr>
      <w:hyperlink r:id="rId246" w:anchor="Cultura" w:history="1">
        <w:r w:rsidR="00F419D2">
          <w:rPr>
            <w:rStyle w:val="tocnumber"/>
            <w:color w:val="0000FF"/>
            <w:u w:val="single"/>
          </w:rPr>
          <w:t>4.2</w:t>
        </w:r>
        <w:r w:rsidR="00F419D2">
          <w:rPr>
            <w:rStyle w:val="Hipervnculo"/>
          </w:rPr>
          <w:t xml:space="preserve"> </w:t>
        </w:r>
        <w:r w:rsidR="00F419D2">
          <w:rPr>
            <w:rStyle w:val="toctext"/>
            <w:color w:val="0000FF"/>
            <w:u w:val="single"/>
          </w:rPr>
          <w:t>Cultura</w:t>
        </w:r>
      </w:hyperlink>
    </w:p>
    <w:p w:rsidR="00F419D2" w:rsidRDefault="00FE7F35" w:rsidP="00F419D2">
      <w:pPr>
        <w:widowControl/>
        <w:numPr>
          <w:ilvl w:val="1"/>
          <w:numId w:val="5"/>
        </w:numPr>
        <w:autoSpaceDE/>
        <w:autoSpaceDN/>
        <w:adjustRightInd/>
        <w:spacing w:before="100" w:beforeAutospacing="1" w:after="100" w:afterAutospacing="1"/>
      </w:pPr>
      <w:hyperlink r:id="rId247" w:anchor="Idiomas" w:history="1">
        <w:r w:rsidR="00F419D2">
          <w:rPr>
            <w:rStyle w:val="tocnumber"/>
            <w:color w:val="0000FF"/>
            <w:u w:val="single"/>
          </w:rPr>
          <w:t>4.3</w:t>
        </w:r>
        <w:r w:rsidR="00F419D2">
          <w:rPr>
            <w:rStyle w:val="Hipervnculo"/>
          </w:rPr>
          <w:t xml:space="preserve"> </w:t>
        </w:r>
        <w:r w:rsidR="00F419D2">
          <w:rPr>
            <w:rStyle w:val="toctext"/>
            <w:color w:val="0000FF"/>
            <w:u w:val="single"/>
          </w:rPr>
          <w:t>Idiomas</w:t>
        </w:r>
      </w:hyperlink>
    </w:p>
    <w:p w:rsidR="00F419D2" w:rsidRDefault="00FE7F35" w:rsidP="00F419D2">
      <w:pPr>
        <w:widowControl/>
        <w:numPr>
          <w:ilvl w:val="1"/>
          <w:numId w:val="5"/>
        </w:numPr>
        <w:autoSpaceDE/>
        <w:autoSpaceDN/>
        <w:adjustRightInd/>
        <w:spacing w:before="100" w:beforeAutospacing="1" w:after="100" w:afterAutospacing="1"/>
      </w:pPr>
      <w:hyperlink r:id="rId248" w:anchor="Deporte" w:history="1">
        <w:r w:rsidR="00F419D2">
          <w:rPr>
            <w:rStyle w:val="tocnumber"/>
            <w:color w:val="0000FF"/>
            <w:u w:val="single"/>
          </w:rPr>
          <w:t>4.4</w:t>
        </w:r>
        <w:r w:rsidR="00F419D2">
          <w:rPr>
            <w:rStyle w:val="Hipervnculo"/>
          </w:rPr>
          <w:t xml:space="preserve"> </w:t>
        </w:r>
        <w:r w:rsidR="00F419D2">
          <w:rPr>
            <w:rStyle w:val="toctext"/>
            <w:color w:val="0000FF"/>
            <w:u w:val="single"/>
          </w:rPr>
          <w:t>Deporte</w:t>
        </w:r>
      </w:hyperlink>
    </w:p>
    <w:p w:rsidR="00F419D2" w:rsidRDefault="00FE7F35" w:rsidP="00F419D2">
      <w:pPr>
        <w:widowControl/>
        <w:numPr>
          <w:ilvl w:val="1"/>
          <w:numId w:val="5"/>
        </w:numPr>
        <w:autoSpaceDE/>
        <w:autoSpaceDN/>
        <w:adjustRightInd/>
        <w:spacing w:before="100" w:beforeAutospacing="1" w:after="100" w:afterAutospacing="1"/>
      </w:pPr>
      <w:hyperlink r:id="rId249" w:anchor="Religiones" w:history="1">
        <w:r w:rsidR="00F419D2">
          <w:rPr>
            <w:rStyle w:val="tocnumber"/>
            <w:color w:val="0000FF"/>
            <w:u w:val="single"/>
          </w:rPr>
          <w:t>4.5</w:t>
        </w:r>
        <w:r w:rsidR="00F419D2">
          <w:rPr>
            <w:rStyle w:val="Hipervnculo"/>
          </w:rPr>
          <w:t xml:space="preserve"> </w:t>
        </w:r>
        <w:r w:rsidR="00F419D2">
          <w:rPr>
            <w:rStyle w:val="toctext"/>
            <w:color w:val="0000FF"/>
            <w:u w:val="single"/>
          </w:rPr>
          <w:t>Religiones</w:t>
        </w:r>
      </w:hyperlink>
    </w:p>
    <w:p w:rsidR="00F419D2" w:rsidRDefault="00FE7F35" w:rsidP="00F419D2">
      <w:pPr>
        <w:widowControl/>
        <w:numPr>
          <w:ilvl w:val="0"/>
          <w:numId w:val="5"/>
        </w:numPr>
        <w:autoSpaceDE/>
        <w:autoSpaceDN/>
        <w:adjustRightInd/>
        <w:spacing w:before="100" w:beforeAutospacing="1" w:after="100" w:afterAutospacing="1"/>
      </w:pPr>
      <w:hyperlink r:id="rId250" w:anchor="Econom.C3.ADa" w:history="1">
        <w:r w:rsidR="00F419D2">
          <w:rPr>
            <w:rStyle w:val="tocnumber"/>
            <w:color w:val="0000FF"/>
            <w:u w:val="single"/>
          </w:rPr>
          <w:t>5</w:t>
        </w:r>
        <w:r w:rsidR="00F419D2">
          <w:rPr>
            <w:rStyle w:val="Hipervnculo"/>
          </w:rPr>
          <w:t xml:space="preserve"> </w:t>
        </w:r>
        <w:r w:rsidR="00F419D2">
          <w:rPr>
            <w:rStyle w:val="toctext"/>
            <w:color w:val="0000FF"/>
            <w:u w:val="single"/>
          </w:rPr>
          <w:t>Economía</w:t>
        </w:r>
      </w:hyperlink>
      <w:r w:rsidR="00F419D2">
        <w:t xml:space="preserve"> </w:t>
      </w:r>
    </w:p>
    <w:p w:rsidR="00F419D2" w:rsidRDefault="00FE7F35" w:rsidP="00F419D2">
      <w:pPr>
        <w:widowControl/>
        <w:numPr>
          <w:ilvl w:val="1"/>
          <w:numId w:val="5"/>
        </w:numPr>
        <w:autoSpaceDE/>
        <w:autoSpaceDN/>
        <w:adjustRightInd/>
        <w:spacing w:before="100" w:beforeAutospacing="1" w:after="100" w:afterAutospacing="1"/>
      </w:pPr>
      <w:hyperlink r:id="rId251" w:anchor="Sector_primario" w:history="1">
        <w:r w:rsidR="00F419D2">
          <w:rPr>
            <w:rStyle w:val="tocnumber"/>
            <w:color w:val="0000FF"/>
            <w:u w:val="single"/>
          </w:rPr>
          <w:t>5.1</w:t>
        </w:r>
        <w:r w:rsidR="00F419D2">
          <w:rPr>
            <w:rStyle w:val="Hipervnculo"/>
          </w:rPr>
          <w:t xml:space="preserve"> </w:t>
        </w:r>
        <w:r w:rsidR="00F419D2">
          <w:rPr>
            <w:rStyle w:val="toctext"/>
            <w:color w:val="0000FF"/>
            <w:u w:val="single"/>
          </w:rPr>
          <w:t>Sector primario</w:t>
        </w:r>
      </w:hyperlink>
    </w:p>
    <w:p w:rsidR="00F419D2" w:rsidRDefault="00FE7F35" w:rsidP="00F419D2">
      <w:pPr>
        <w:widowControl/>
        <w:numPr>
          <w:ilvl w:val="1"/>
          <w:numId w:val="5"/>
        </w:numPr>
        <w:autoSpaceDE/>
        <w:autoSpaceDN/>
        <w:adjustRightInd/>
        <w:spacing w:before="100" w:beforeAutospacing="1" w:after="100" w:afterAutospacing="1"/>
      </w:pPr>
      <w:hyperlink r:id="rId252" w:anchor="Sector_secundario" w:history="1">
        <w:r w:rsidR="00F419D2">
          <w:rPr>
            <w:rStyle w:val="tocnumber"/>
            <w:color w:val="0000FF"/>
            <w:u w:val="single"/>
          </w:rPr>
          <w:t>5.2</w:t>
        </w:r>
        <w:r w:rsidR="00F419D2">
          <w:rPr>
            <w:rStyle w:val="Hipervnculo"/>
          </w:rPr>
          <w:t xml:space="preserve"> </w:t>
        </w:r>
        <w:r w:rsidR="00F419D2">
          <w:rPr>
            <w:rStyle w:val="toctext"/>
            <w:color w:val="0000FF"/>
            <w:u w:val="single"/>
          </w:rPr>
          <w:t>Sector secundario</w:t>
        </w:r>
      </w:hyperlink>
    </w:p>
    <w:p w:rsidR="00F419D2" w:rsidRDefault="00FE7F35" w:rsidP="00F419D2">
      <w:pPr>
        <w:widowControl/>
        <w:numPr>
          <w:ilvl w:val="1"/>
          <w:numId w:val="5"/>
        </w:numPr>
        <w:autoSpaceDE/>
        <w:autoSpaceDN/>
        <w:adjustRightInd/>
        <w:spacing w:before="100" w:beforeAutospacing="1" w:after="100" w:afterAutospacing="1"/>
      </w:pPr>
      <w:hyperlink r:id="rId253" w:anchor="Sector_terciario" w:history="1">
        <w:r w:rsidR="00F419D2">
          <w:rPr>
            <w:rStyle w:val="tocnumber"/>
            <w:color w:val="0000FF"/>
            <w:u w:val="single"/>
          </w:rPr>
          <w:t>5.3</w:t>
        </w:r>
        <w:r w:rsidR="00F419D2">
          <w:rPr>
            <w:rStyle w:val="Hipervnculo"/>
          </w:rPr>
          <w:t xml:space="preserve"> </w:t>
        </w:r>
        <w:r w:rsidR="00F419D2">
          <w:rPr>
            <w:rStyle w:val="toctext"/>
            <w:color w:val="0000FF"/>
            <w:u w:val="single"/>
          </w:rPr>
          <w:t>Sector terciario</w:t>
        </w:r>
      </w:hyperlink>
    </w:p>
    <w:p w:rsidR="00F419D2" w:rsidRDefault="00FE7F35" w:rsidP="00F419D2">
      <w:pPr>
        <w:widowControl/>
        <w:numPr>
          <w:ilvl w:val="0"/>
          <w:numId w:val="5"/>
        </w:numPr>
        <w:autoSpaceDE/>
        <w:autoSpaceDN/>
        <w:adjustRightInd/>
        <w:spacing w:before="100" w:beforeAutospacing="1" w:after="100" w:afterAutospacing="1"/>
      </w:pPr>
      <w:hyperlink r:id="rId254" w:anchor="Referencias" w:history="1">
        <w:r w:rsidR="00F419D2">
          <w:rPr>
            <w:rStyle w:val="tocnumber"/>
            <w:color w:val="0000FF"/>
            <w:u w:val="single"/>
          </w:rPr>
          <w:t>6</w:t>
        </w:r>
        <w:r w:rsidR="00F419D2">
          <w:rPr>
            <w:rStyle w:val="Hipervnculo"/>
          </w:rPr>
          <w:t xml:space="preserve"> </w:t>
        </w:r>
        <w:r w:rsidR="00F419D2">
          <w:rPr>
            <w:rStyle w:val="toctext"/>
            <w:color w:val="0000FF"/>
            <w:u w:val="single"/>
          </w:rPr>
          <w:t>Referencias</w:t>
        </w:r>
      </w:hyperlink>
    </w:p>
    <w:p w:rsidR="00F419D2" w:rsidRDefault="00FE7F35" w:rsidP="00F419D2">
      <w:pPr>
        <w:widowControl/>
        <w:numPr>
          <w:ilvl w:val="0"/>
          <w:numId w:val="5"/>
        </w:numPr>
        <w:autoSpaceDE/>
        <w:autoSpaceDN/>
        <w:adjustRightInd/>
        <w:spacing w:before="100" w:beforeAutospacing="1" w:after="100" w:afterAutospacing="1"/>
      </w:pPr>
      <w:hyperlink r:id="rId255" w:anchor="Enlaces_externos" w:history="1">
        <w:r w:rsidR="00F419D2">
          <w:rPr>
            <w:rStyle w:val="tocnumber"/>
            <w:color w:val="0000FF"/>
            <w:u w:val="single"/>
          </w:rPr>
          <w:t>7</w:t>
        </w:r>
        <w:r w:rsidR="00F419D2">
          <w:rPr>
            <w:rStyle w:val="Hipervnculo"/>
          </w:rPr>
          <w:t xml:space="preserve"> </w:t>
        </w:r>
        <w:r w:rsidR="00F419D2">
          <w:rPr>
            <w:rStyle w:val="toctext"/>
            <w:color w:val="0000FF"/>
            <w:u w:val="single"/>
          </w:rPr>
          <w:t>Enlaces externos</w:t>
        </w:r>
      </w:hyperlink>
    </w:p>
    <w:p w:rsidR="00F419D2" w:rsidRDefault="00F419D2" w:rsidP="00F419D2">
      <w:pPr>
        <w:pStyle w:val="Ttulo2"/>
      </w:pPr>
      <w:r>
        <w:rPr>
          <w:rStyle w:val="mw-headline"/>
        </w:rPr>
        <w:t>Geografía</w:t>
      </w:r>
    </w:p>
    <w:p w:rsidR="00F419D2" w:rsidRDefault="00F419D2" w:rsidP="00F419D2">
      <w:pPr>
        <w:pStyle w:val="NormalWeb"/>
      </w:pPr>
      <w:r>
        <w:t xml:space="preserve">La isla de Tahití se sitúa en medio de Pacífico Sur. Se halla a unos 4.400 km al sur de </w:t>
      </w:r>
      <w:hyperlink r:id="rId256" w:tooltip="Hawái" w:history="1">
        <w:r>
          <w:rPr>
            <w:rStyle w:val="Hipervnculo"/>
          </w:rPr>
          <w:t>Hawái</w:t>
        </w:r>
      </w:hyperlink>
      <w:r>
        <w:t xml:space="preserve">, a 7.900 km de la república de </w:t>
      </w:r>
      <w:hyperlink r:id="rId257" w:tooltip="Chile" w:history="1">
        <w:r>
          <w:rPr>
            <w:rStyle w:val="Hipervnculo"/>
          </w:rPr>
          <w:t>Chile</w:t>
        </w:r>
      </w:hyperlink>
      <w:r>
        <w:t xml:space="preserve"> y a 5.700 km de </w:t>
      </w:r>
      <w:hyperlink r:id="rId258" w:tooltip="Australia" w:history="1">
        <w:r>
          <w:rPr>
            <w:rStyle w:val="Hipervnculo"/>
          </w:rPr>
          <w:t>Australia</w:t>
        </w:r>
      </w:hyperlink>
      <w:r>
        <w:t>. La isla francesa está a más de 15.000 km del territorio m</w:t>
      </w:r>
      <w:r>
        <w:t>e</w:t>
      </w:r>
      <w:r>
        <w:t xml:space="preserve">tropolitana francés, con una diferencia horaria de 11 horas en invierno y de 12 horas en verano. Tahití es la isla más grande de la Polinesia Francesa, situada al archipiélago de las </w:t>
      </w:r>
      <w:hyperlink r:id="rId259" w:tooltip="Islas de la Sociedad" w:history="1">
        <w:r>
          <w:rPr>
            <w:rStyle w:val="Hipervnculo"/>
          </w:rPr>
          <w:t>islas de la Sociedad</w:t>
        </w:r>
      </w:hyperlink>
      <w:r>
        <w:t xml:space="preserve"> al sur de Ocea</w:t>
      </w:r>
      <w:r>
        <w:t>n</w:t>
      </w:r>
      <w:r>
        <w:t xml:space="preserve">ía. Históricamente fue conocida también como </w:t>
      </w:r>
      <w:proofErr w:type="spellStart"/>
      <w:r>
        <w:t>Otaheite</w:t>
      </w:r>
      <w:proofErr w:type="spellEnd"/>
      <w:r>
        <w:t>. La capital es Papeete, situada a la cuesta noroeste de la isla.</w:t>
      </w:r>
    </w:p>
    <w:p w:rsidR="00F419D2" w:rsidRDefault="00F419D2" w:rsidP="00F419D2">
      <w:pPr>
        <w:pStyle w:val="NormalWeb"/>
      </w:pPr>
      <w:r>
        <w:t xml:space="preserve">La isla consta de dos partes centradas en volcanes apagados y conectadas por un corto brazo de tierra, el istmo de </w:t>
      </w:r>
      <w:proofErr w:type="spellStart"/>
      <w:r>
        <w:t>Taravao</w:t>
      </w:r>
      <w:proofErr w:type="spellEnd"/>
      <w:r>
        <w:t xml:space="preserve">. Con 1.042 km2 de superficie, alcanza una longitud máxima de 60 km (sobre la diagonal noroeste - sureste, península incluida), y una anchura de 30 km en su zona principal. El perímetro total de la isla alcanza 190 km. Es la isla más poblada de la </w:t>
      </w:r>
      <w:hyperlink r:id="rId260" w:tooltip="Polinesia Francesa" w:history="1">
        <w:r>
          <w:rPr>
            <w:rStyle w:val="Hipervnculo"/>
          </w:rPr>
          <w:t>Polinesia Francesa</w:t>
        </w:r>
      </w:hyperlink>
      <w:r>
        <w:t xml:space="preserve">, con un 69% de la población total. El punto más alto de la isla es el monte </w:t>
      </w:r>
      <w:proofErr w:type="spellStart"/>
      <w:r>
        <w:t>Orohena</w:t>
      </w:r>
      <w:proofErr w:type="spellEnd"/>
      <w:r>
        <w:t xml:space="preserve"> de 2.241 metros de altitud. La isla se compone de dos partes centradas sobre volcanes extintos y unidas por el istmo de </w:t>
      </w:r>
      <w:proofErr w:type="spellStart"/>
      <w:r>
        <w:t>Taravao</w:t>
      </w:r>
      <w:proofErr w:type="spellEnd"/>
      <w:r>
        <w:t xml:space="preserve">. La parte noroccidental se denomina </w:t>
      </w:r>
      <w:proofErr w:type="spellStart"/>
      <w:r>
        <w:rPr>
          <w:i/>
          <w:iCs/>
        </w:rPr>
        <w:t>Tahiti</w:t>
      </w:r>
      <w:proofErr w:type="spellEnd"/>
      <w:r>
        <w:rPr>
          <w:i/>
          <w:iCs/>
        </w:rPr>
        <w:t xml:space="preserve"> </w:t>
      </w:r>
      <w:proofErr w:type="spellStart"/>
      <w:r>
        <w:rPr>
          <w:i/>
          <w:iCs/>
        </w:rPr>
        <w:t>Nui</w:t>
      </w:r>
      <w:proofErr w:type="spellEnd"/>
      <w:r>
        <w:t xml:space="preserve">, o Gran Tahití, y la sur-oriental es </w:t>
      </w:r>
      <w:proofErr w:type="spellStart"/>
      <w:r>
        <w:rPr>
          <w:i/>
          <w:iCs/>
        </w:rPr>
        <w:t>Tahiti</w:t>
      </w:r>
      <w:proofErr w:type="spellEnd"/>
      <w:r>
        <w:rPr>
          <w:i/>
          <w:iCs/>
        </w:rPr>
        <w:t xml:space="preserve"> </w:t>
      </w:r>
      <w:proofErr w:type="spellStart"/>
      <w:r>
        <w:rPr>
          <w:i/>
          <w:iCs/>
        </w:rPr>
        <w:t>Iti</w:t>
      </w:r>
      <w:proofErr w:type="spellEnd"/>
      <w:r>
        <w:t xml:space="preserve">, o Pequeña Tahití. Sólo la franja costera es habitada con una penetración máxima que no sobrepasa los dos kilómetros. </w:t>
      </w:r>
      <w:proofErr w:type="spellStart"/>
      <w:r>
        <w:t>Tahiti</w:t>
      </w:r>
      <w:proofErr w:type="spellEnd"/>
      <w:r>
        <w:t xml:space="preserve"> </w:t>
      </w:r>
      <w:proofErr w:type="spellStart"/>
      <w:r>
        <w:t>Nui</w:t>
      </w:r>
      <w:proofErr w:type="spellEnd"/>
      <w:r>
        <w:t xml:space="preserve"> está densamente poblada, s</w:t>
      </w:r>
      <w:r>
        <w:t>o</w:t>
      </w:r>
      <w:r>
        <w:t xml:space="preserve">bre todo alrededor de la </w:t>
      </w:r>
      <w:proofErr w:type="spellStart"/>
      <w:r>
        <w:t>capítal</w:t>
      </w:r>
      <w:proofErr w:type="spellEnd"/>
      <w:r>
        <w:t xml:space="preserve"> Papeete, y dispone de buenas infraestructuras y fuerte influencia de la metrópoli francesa, mientras </w:t>
      </w:r>
      <w:proofErr w:type="spellStart"/>
      <w:r>
        <w:t>Tahiti</w:t>
      </w:r>
      <w:proofErr w:type="spellEnd"/>
      <w:r>
        <w:t xml:space="preserve"> </w:t>
      </w:r>
      <w:proofErr w:type="spellStart"/>
      <w:r>
        <w:t>Iti</w:t>
      </w:r>
      <w:proofErr w:type="spellEnd"/>
      <w:r>
        <w:t xml:space="preserve"> ha quedado más aislada manteniendo la cultura tradicional polinesia.</w:t>
      </w:r>
    </w:p>
    <w:p w:rsidR="00F419D2" w:rsidRDefault="00F419D2" w:rsidP="00F419D2">
      <w:pPr>
        <w:pStyle w:val="NormalWeb"/>
      </w:pPr>
      <w:r>
        <w:t xml:space="preserve">El francés es lengua oficial y el tahitiano, o </w:t>
      </w:r>
      <w:r>
        <w:rPr>
          <w:i/>
          <w:iCs/>
        </w:rPr>
        <w:t xml:space="preserve">reo </w:t>
      </w:r>
      <w:proofErr w:type="spellStart"/>
      <w:r>
        <w:rPr>
          <w:i/>
          <w:iCs/>
        </w:rPr>
        <w:t>mā’ohi</w:t>
      </w:r>
      <w:proofErr w:type="spellEnd"/>
      <w:r>
        <w:t>, es reconocido como elemento fundamental de c</w:t>
      </w:r>
      <w:r>
        <w:t>o</w:t>
      </w:r>
      <w:r>
        <w:t>hesión social y comunicación cotidiana, de uso libre con estatus de cooficial.</w:t>
      </w:r>
    </w:p>
    <w:p w:rsidR="00F419D2" w:rsidRDefault="00F419D2" w:rsidP="00F419D2"/>
    <w:p w:rsidR="00F419D2" w:rsidRDefault="00F419D2" w:rsidP="00F419D2">
      <w:r>
        <w:t>ubicación de la Polinesia Francesa en el Pacífico sur.</w:t>
      </w:r>
    </w:p>
    <w:p w:rsidR="00F419D2" w:rsidRDefault="00F419D2" w:rsidP="00F419D2"/>
    <w:p w:rsidR="00F419D2" w:rsidRDefault="00F419D2" w:rsidP="00F419D2">
      <w:r>
        <w:t xml:space="preserve">Isla de </w:t>
      </w:r>
      <w:proofErr w:type="spellStart"/>
      <w:r>
        <w:t>Tahiti</w:t>
      </w:r>
      <w:proofErr w:type="spellEnd"/>
      <w:r>
        <w:t>.</w:t>
      </w:r>
    </w:p>
    <w:p w:rsidR="00F419D2" w:rsidRDefault="00F419D2" w:rsidP="00F419D2">
      <w:pPr>
        <w:pStyle w:val="Ttulo3"/>
      </w:pPr>
      <w:r>
        <w:rPr>
          <w:rStyle w:val="mw-headline"/>
        </w:rPr>
        <w:t>Población</w:t>
      </w:r>
    </w:p>
    <w:p w:rsidR="00F419D2" w:rsidRDefault="00F419D2" w:rsidP="00F419D2">
      <w:pPr>
        <w:pStyle w:val="NormalWeb"/>
      </w:pPr>
      <w:r>
        <w:t>Tahití es la más poblada de las islas de la Polinesia francesa. Así pues, en el último censo de 2007, sobre los 259.706 habitantes quienes contaba Polinesia, Tahití albergaba 178.173, lo que representa el 69% de la p</w:t>
      </w:r>
      <w:r>
        <w:t>o</w:t>
      </w:r>
      <w:r>
        <w:t xml:space="preserve">blación del territorio polinésico francés. La </w:t>
      </w:r>
      <w:proofErr w:type="spellStart"/>
      <w:r>
        <w:t>ocupació</w:t>
      </w:r>
      <w:proofErr w:type="spellEnd"/>
      <w:r>
        <w:t xml:space="preserve"> del ser humano de la isla se contrasta de sobra, señal</w:t>
      </w:r>
      <w:r>
        <w:t>a</w:t>
      </w:r>
      <w:r>
        <w:t xml:space="preserve">da por una parte por la macrocefalia urbana de Papeete y por otra parte por la oposición entre un litoral muy poblado y equipado, y el interior de las tierras, casi </w:t>
      </w:r>
      <w:proofErr w:type="spellStart"/>
      <w:r>
        <w:t>inocupado</w:t>
      </w:r>
      <w:proofErr w:type="spellEnd"/>
      <w:r>
        <w:t>. A causa de la atracción de Papeete, la dens</w:t>
      </w:r>
      <w:r>
        <w:t>i</w:t>
      </w:r>
      <w:r>
        <w:t xml:space="preserve">dad del hábitat costero se vuelve cada vez menos elevada a medida que se aleja de la capital. </w:t>
      </w:r>
      <w:proofErr w:type="spellStart"/>
      <w:r>
        <w:t>unmes</w:t>
      </w:r>
      <w:proofErr w:type="spellEnd"/>
    </w:p>
    <w:p w:rsidR="00F419D2" w:rsidRDefault="00F419D2" w:rsidP="00F419D2">
      <w:pPr>
        <w:pStyle w:val="NormalWeb"/>
      </w:pPr>
      <w:r>
        <w:t xml:space="preserve">La isla está formada por 12 municipios, que recortan o reúnen los distritos tradicionales. De entre todos los núcleos de población, Papeete es la capital de Tahití y así mismo, de la Polinesia francesa. El municipio en sí mismo, que se extiende sobre 19 km2, sólo alberga 26.050 habitantes, lo que, aunque tenga la más fuerte densidad de población de la isla, en realidad que el segundo municipio más poblado de la isla, después de </w:t>
      </w:r>
      <w:proofErr w:type="spellStart"/>
      <w:r>
        <w:t>Faa'a</w:t>
      </w:r>
      <w:proofErr w:type="spellEnd"/>
      <w:r>
        <w:t xml:space="preserve">. sin embargo, la aglomeración urbana de Papeete, que agrupa hoy los municipios de </w:t>
      </w:r>
      <w:proofErr w:type="spellStart"/>
      <w:r>
        <w:t>Arue</w:t>
      </w:r>
      <w:proofErr w:type="spellEnd"/>
      <w:r>
        <w:t xml:space="preserve">, de </w:t>
      </w:r>
      <w:proofErr w:type="spellStart"/>
      <w:r>
        <w:t>Pirae</w:t>
      </w:r>
      <w:proofErr w:type="spellEnd"/>
      <w:r>
        <w:t xml:space="preserve"> y </w:t>
      </w:r>
      <w:proofErr w:type="spellStart"/>
      <w:r>
        <w:t>Mahina</w:t>
      </w:r>
      <w:proofErr w:type="spellEnd"/>
      <w:r>
        <w:t xml:space="preserve"> al Este; y de </w:t>
      </w:r>
      <w:proofErr w:type="spellStart"/>
      <w:r>
        <w:t>Faaa</w:t>
      </w:r>
      <w:proofErr w:type="spellEnd"/>
      <w:r>
        <w:t xml:space="preserve">, </w:t>
      </w:r>
      <w:proofErr w:type="spellStart"/>
      <w:r>
        <w:t>Punaauia</w:t>
      </w:r>
      <w:proofErr w:type="spellEnd"/>
      <w:r>
        <w:t xml:space="preserve"> y </w:t>
      </w:r>
      <w:proofErr w:type="spellStart"/>
      <w:r>
        <w:t>Paea</w:t>
      </w:r>
      <w:proofErr w:type="spellEnd"/>
      <w:r>
        <w:t xml:space="preserve"> al Oeste, concentra a más de a 130.000 habitantes, sobre una franja de tierra de una </w:t>
      </w:r>
      <w:proofErr w:type="spellStart"/>
      <w:r>
        <w:t>sesentena</w:t>
      </w:r>
      <w:proofErr w:type="spellEnd"/>
      <w:r>
        <w:t xml:space="preserve"> de kilómetros de longitud, acuñada entre la laguna y los contrafuertes mo</w:t>
      </w:r>
      <w:r>
        <w:t>n</w:t>
      </w:r>
      <w:r>
        <w:t>tañosos. El desarrollo macrocéfalo de la capital implica la integración progresiva de los municipios circu</w:t>
      </w:r>
      <w:r>
        <w:t>n</w:t>
      </w:r>
      <w:r>
        <w:t xml:space="preserve">dantes a lo largo del litoral. Esta aglomeración es el centro administrativo, político y económico de Tahití y </w:t>
      </w:r>
      <w:r>
        <w:lastRenderedPageBreak/>
        <w:t xml:space="preserve">la Polinesia francesa. El municipio reúne un 47% de los empleos y puestos de trabajo de la isla de </w:t>
      </w:r>
      <w:proofErr w:type="spellStart"/>
      <w:r>
        <w:t>Tahiti</w:t>
      </w:r>
      <w:proofErr w:type="spellEnd"/>
      <w:r>
        <w:t>, y la aglomeración urbana concentra más de un 80% de los puestos y lugares de trabajo, polarizando así toda la actividad humana de la isla.</w:t>
      </w:r>
    </w:p>
    <w:p w:rsidR="00F419D2" w:rsidRDefault="00FE7F35" w:rsidP="00F419D2">
      <w:hyperlink r:id="rId261" w:history="1">
        <w:r w:rsidRPr="00FE7F35">
          <w:rPr>
            <w:color w:val="0000FF"/>
          </w:rPr>
          <w:pict>
            <v:shape id="_x0000_i1031" type="#_x0000_t75" alt="" href="https://commons.wikimedia.org/wiki/File:Portdepapeete.jpg" style="width:187.5pt;height:126pt" o:button="t"/>
          </w:pict>
        </w:r>
      </w:hyperlink>
    </w:p>
    <w:p w:rsidR="00F419D2" w:rsidRDefault="00F419D2" w:rsidP="00F419D2">
      <w:r>
        <w:t xml:space="preserve">Puerto de Papeete. Isla de </w:t>
      </w:r>
      <w:proofErr w:type="spellStart"/>
      <w:r>
        <w:t>Tahiti</w:t>
      </w:r>
      <w:proofErr w:type="spellEnd"/>
      <w:r>
        <w:t>.</w:t>
      </w:r>
    </w:p>
    <w:p w:rsidR="00F419D2" w:rsidRDefault="00F419D2" w:rsidP="00F419D2">
      <w:pPr>
        <w:pStyle w:val="NormalWeb"/>
      </w:pPr>
      <w:proofErr w:type="spellStart"/>
      <w:r>
        <w:t>Etnologicamente</w:t>
      </w:r>
      <w:proofErr w:type="spellEnd"/>
      <w:r>
        <w:t>, la población humana de Tahití se distribuye en cuatro grupos diferentes: - el Polinesio, - los Europeos, - los Chinos, - los "</w:t>
      </w:r>
      <w:proofErr w:type="spellStart"/>
      <w:r>
        <w:rPr>
          <w:i/>
          <w:iCs/>
        </w:rPr>
        <w:t>demis</w:t>
      </w:r>
      <w:proofErr w:type="spellEnd"/>
      <w:r>
        <w:t>" o mestizos, resultantes del mestizaje entre dos o tres grupos.</w:t>
      </w:r>
    </w:p>
    <w:p w:rsidR="008603D5" w:rsidRPr="00577CA3" w:rsidRDefault="008603D5" w:rsidP="005B4CF6">
      <w:pPr>
        <w:jc w:val="both"/>
        <w:rPr>
          <w:b/>
          <w:sz w:val="28"/>
          <w:szCs w:val="28"/>
        </w:rPr>
      </w:pPr>
    </w:p>
    <w:sectPr w:rsidR="008603D5" w:rsidRPr="00577CA3"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3E2D"/>
    <w:multiLevelType w:val="multilevel"/>
    <w:tmpl w:val="1B3C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413A1"/>
    <w:multiLevelType w:val="multilevel"/>
    <w:tmpl w:val="660C7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21275C"/>
    <w:multiLevelType w:val="multilevel"/>
    <w:tmpl w:val="371E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881311"/>
    <w:multiLevelType w:val="multilevel"/>
    <w:tmpl w:val="30348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863CE2"/>
    <w:multiLevelType w:val="multilevel"/>
    <w:tmpl w:val="F2C8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6A79CB"/>
    <w:multiLevelType w:val="multilevel"/>
    <w:tmpl w:val="6C4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8A5C90"/>
    <w:multiLevelType w:val="multilevel"/>
    <w:tmpl w:val="957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6528A6"/>
    <w:multiLevelType w:val="multilevel"/>
    <w:tmpl w:val="5D6EB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FC7561"/>
    <w:multiLevelType w:val="multilevel"/>
    <w:tmpl w:val="A120E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A3338F"/>
    <w:multiLevelType w:val="multilevel"/>
    <w:tmpl w:val="5BD6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D80676"/>
    <w:multiLevelType w:val="multilevel"/>
    <w:tmpl w:val="19288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8"/>
    <w:lvlOverride w:ilvl="0"/>
    <w:lvlOverride w:ilvl="1">
      <w:startOverride w:val="2"/>
    </w:lvlOverride>
  </w:num>
  <w:num w:numId="4">
    <w:abstractNumId w:val="7"/>
  </w:num>
  <w:num w:numId="5">
    <w:abstractNumId w:val="1"/>
  </w:num>
  <w:num w:numId="6">
    <w:abstractNumId w:val="2"/>
  </w:num>
  <w:num w:numId="7">
    <w:abstractNumId w:val="3"/>
  </w:num>
  <w:num w:numId="8">
    <w:abstractNumId w:val="5"/>
  </w:num>
  <w:num w:numId="9">
    <w:abstractNumId w:val="10"/>
  </w:num>
  <w:num w:numId="10">
    <w:abstractNumId w:val="0"/>
  </w:num>
  <w:num w:numId="11">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32C6A"/>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E7E5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77CA3"/>
    <w:rsid w:val="005824B8"/>
    <w:rsid w:val="00586A1F"/>
    <w:rsid w:val="00587A12"/>
    <w:rsid w:val="005944D4"/>
    <w:rsid w:val="005B0F2B"/>
    <w:rsid w:val="005B4CF6"/>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D85"/>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03D5"/>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13A2D"/>
    <w:rsid w:val="00A23A29"/>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19D2"/>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E7F35"/>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unicode">
    <w:name w:val="unicode"/>
    <w:basedOn w:val="Fuentedeprrafopredeter"/>
    <w:rsid w:val="005B4CF6"/>
  </w:style>
  <w:style w:type="character" w:customStyle="1" w:styleId="ipa">
    <w:name w:val="ipa"/>
    <w:basedOn w:val="Fuentedeprrafopredeter"/>
    <w:rsid w:val="005B4CF6"/>
  </w:style>
  <w:style w:type="character" w:customStyle="1" w:styleId="reference-text">
    <w:name w:val="reference-text"/>
    <w:basedOn w:val="Fuentedeprrafopredeter"/>
    <w:rsid w:val="005B4CF6"/>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16008356">
      <w:bodyDiv w:val="1"/>
      <w:marLeft w:val="0"/>
      <w:marRight w:val="0"/>
      <w:marTop w:val="0"/>
      <w:marBottom w:val="0"/>
      <w:divBdr>
        <w:top w:val="none" w:sz="0" w:space="0" w:color="auto"/>
        <w:left w:val="none" w:sz="0" w:space="0" w:color="auto"/>
        <w:bottom w:val="none" w:sz="0" w:space="0" w:color="auto"/>
        <w:right w:val="none" w:sz="0" w:space="0" w:color="auto"/>
      </w:divBdr>
      <w:divsChild>
        <w:div w:id="1300498992">
          <w:marLeft w:val="0"/>
          <w:marRight w:val="0"/>
          <w:marTop w:val="0"/>
          <w:marBottom w:val="0"/>
          <w:divBdr>
            <w:top w:val="none" w:sz="0" w:space="0" w:color="auto"/>
            <w:left w:val="none" w:sz="0" w:space="0" w:color="auto"/>
            <w:bottom w:val="none" w:sz="0" w:space="0" w:color="auto"/>
            <w:right w:val="none" w:sz="0" w:space="0" w:color="auto"/>
          </w:divBdr>
          <w:divsChild>
            <w:div w:id="1192957825">
              <w:marLeft w:val="0"/>
              <w:marRight w:val="0"/>
              <w:marTop w:val="0"/>
              <w:marBottom w:val="0"/>
              <w:divBdr>
                <w:top w:val="none" w:sz="0" w:space="0" w:color="auto"/>
                <w:left w:val="none" w:sz="0" w:space="0" w:color="auto"/>
                <w:bottom w:val="none" w:sz="0" w:space="0" w:color="auto"/>
                <w:right w:val="none" w:sz="0" w:space="0" w:color="auto"/>
              </w:divBdr>
            </w:div>
          </w:divsChild>
        </w:div>
        <w:div w:id="683441247">
          <w:marLeft w:val="0"/>
          <w:marRight w:val="0"/>
          <w:marTop w:val="0"/>
          <w:marBottom w:val="0"/>
          <w:divBdr>
            <w:top w:val="none" w:sz="0" w:space="0" w:color="auto"/>
            <w:left w:val="none" w:sz="0" w:space="0" w:color="auto"/>
            <w:bottom w:val="none" w:sz="0" w:space="0" w:color="auto"/>
            <w:right w:val="none" w:sz="0" w:space="0" w:color="auto"/>
          </w:divBdr>
        </w:div>
        <w:div w:id="1066344980">
          <w:marLeft w:val="240"/>
          <w:marRight w:val="0"/>
          <w:marTop w:val="0"/>
          <w:marBottom w:val="240"/>
          <w:divBdr>
            <w:top w:val="single" w:sz="6" w:space="3" w:color="AAAAAA"/>
            <w:left w:val="single" w:sz="6" w:space="3" w:color="AAAAAA"/>
            <w:bottom w:val="single" w:sz="6" w:space="3" w:color="AAAAAA"/>
            <w:right w:val="single" w:sz="6" w:space="3" w:color="AAAAAA"/>
          </w:divBdr>
          <w:divsChild>
            <w:div w:id="1509440633">
              <w:marLeft w:val="0"/>
              <w:marRight w:val="0"/>
              <w:marTop w:val="0"/>
              <w:marBottom w:val="0"/>
              <w:divBdr>
                <w:top w:val="none" w:sz="0" w:space="0" w:color="auto"/>
                <w:left w:val="none" w:sz="0" w:space="0" w:color="auto"/>
                <w:bottom w:val="none" w:sz="0" w:space="0" w:color="auto"/>
                <w:right w:val="none" w:sz="0" w:space="0" w:color="auto"/>
              </w:divBdr>
              <w:divsChild>
                <w:div w:id="1227452086">
                  <w:marLeft w:val="0"/>
                  <w:marRight w:val="0"/>
                  <w:marTop w:val="0"/>
                  <w:marBottom w:val="0"/>
                  <w:divBdr>
                    <w:top w:val="none" w:sz="0" w:space="0" w:color="auto"/>
                    <w:left w:val="none" w:sz="0" w:space="0" w:color="auto"/>
                    <w:bottom w:val="none" w:sz="0" w:space="0" w:color="auto"/>
                    <w:right w:val="none" w:sz="0" w:space="0" w:color="auto"/>
                  </w:divBdr>
                </w:div>
              </w:divsChild>
            </w:div>
            <w:div w:id="89855986">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4709">
      <w:bodyDiv w:val="1"/>
      <w:marLeft w:val="0"/>
      <w:marRight w:val="0"/>
      <w:marTop w:val="0"/>
      <w:marBottom w:val="0"/>
      <w:divBdr>
        <w:top w:val="none" w:sz="0" w:space="0" w:color="auto"/>
        <w:left w:val="none" w:sz="0" w:space="0" w:color="auto"/>
        <w:bottom w:val="none" w:sz="0" w:space="0" w:color="auto"/>
        <w:right w:val="none" w:sz="0" w:space="0" w:color="auto"/>
      </w:divBdr>
      <w:divsChild>
        <w:div w:id="1960915229">
          <w:marLeft w:val="0"/>
          <w:marRight w:val="0"/>
          <w:marTop w:val="0"/>
          <w:marBottom w:val="0"/>
          <w:divBdr>
            <w:top w:val="none" w:sz="0" w:space="0" w:color="auto"/>
            <w:left w:val="none" w:sz="0" w:space="0" w:color="auto"/>
            <w:bottom w:val="none" w:sz="0" w:space="0" w:color="auto"/>
            <w:right w:val="none" w:sz="0" w:space="0" w:color="auto"/>
          </w:divBdr>
          <w:divsChild>
            <w:div w:id="1875539586">
              <w:marLeft w:val="0"/>
              <w:marRight w:val="0"/>
              <w:marTop w:val="0"/>
              <w:marBottom w:val="0"/>
              <w:divBdr>
                <w:top w:val="none" w:sz="0" w:space="0" w:color="auto"/>
                <w:left w:val="none" w:sz="0" w:space="0" w:color="auto"/>
                <w:bottom w:val="none" w:sz="0" w:space="0" w:color="auto"/>
                <w:right w:val="none" w:sz="0" w:space="0" w:color="auto"/>
              </w:divBdr>
            </w:div>
          </w:divsChild>
        </w:div>
        <w:div w:id="1786147325">
          <w:marLeft w:val="0"/>
          <w:marRight w:val="0"/>
          <w:marTop w:val="0"/>
          <w:marBottom w:val="0"/>
          <w:divBdr>
            <w:top w:val="none" w:sz="0" w:space="0" w:color="auto"/>
            <w:left w:val="none" w:sz="0" w:space="0" w:color="auto"/>
            <w:bottom w:val="none" w:sz="0" w:space="0" w:color="auto"/>
            <w:right w:val="none" w:sz="0" w:space="0" w:color="auto"/>
          </w:divBdr>
        </w:div>
        <w:div w:id="1844776120">
          <w:marLeft w:val="180"/>
          <w:marRight w:val="180"/>
          <w:marTop w:val="180"/>
          <w:marBottom w:val="180"/>
          <w:divBdr>
            <w:top w:val="single" w:sz="6" w:space="0" w:color="000000"/>
            <w:left w:val="single" w:sz="6" w:space="0" w:color="000000"/>
            <w:bottom w:val="single" w:sz="6" w:space="0" w:color="000000"/>
            <w:right w:val="single" w:sz="6" w:space="0" w:color="000000"/>
          </w:divBdr>
          <w:divsChild>
            <w:div w:id="728304386">
              <w:marLeft w:val="75"/>
              <w:marRight w:val="75"/>
              <w:marTop w:val="75"/>
              <w:marBottom w:val="75"/>
              <w:divBdr>
                <w:top w:val="none" w:sz="0" w:space="0" w:color="auto"/>
                <w:left w:val="none" w:sz="0" w:space="0" w:color="auto"/>
                <w:bottom w:val="none" w:sz="0" w:space="0" w:color="auto"/>
                <w:right w:val="none" w:sz="0" w:space="0" w:color="auto"/>
              </w:divBdr>
            </w:div>
            <w:div w:id="1445810481">
              <w:marLeft w:val="0"/>
              <w:marRight w:val="0"/>
              <w:marTop w:val="0"/>
              <w:marBottom w:val="0"/>
              <w:divBdr>
                <w:top w:val="none" w:sz="0" w:space="0" w:color="auto"/>
                <w:left w:val="none" w:sz="0" w:space="0" w:color="auto"/>
                <w:bottom w:val="none" w:sz="0" w:space="0" w:color="auto"/>
                <w:right w:val="none" w:sz="0" w:space="0" w:color="auto"/>
              </w:divBdr>
            </w:div>
          </w:divsChild>
        </w:div>
        <w:div w:id="1246957621">
          <w:marLeft w:val="180"/>
          <w:marRight w:val="180"/>
          <w:marTop w:val="180"/>
          <w:marBottom w:val="180"/>
          <w:divBdr>
            <w:top w:val="single" w:sz="6" w:space="0" w:color="000000"/>
            <w:left w:val="single" w:sz="6" w:space="0" w:color="000000"/>
            <w:bottom w:val="single" w:sz="6" w:space="0" w:color="000000"/>
            <w:right w:val="single" w:sz="6" w:space="0" w:color="000000"/>
          </w:divBdr>
          <w:divsChild>
            <w:div w:id="1769154989">
              <w:marLeft w:val="75"/>
              <w:marRight w:val="75"/>
              <w:marTop w:val="75"/>
              <w:marBottom w:val="75"/>
              <w:divBdr>
                <w:top w:val="none" w:sz="0" w:space="0" w:color="auto"/>
                <w:left w:val="none" w:sz="0" w:space="0" w:color="auto"/>
                <w:bottom w:val="none" w:sz="0" w:space="0" w:color="auto"/>
                <w:right w:val="none" w:sz="0" w:space="0" w:color="auto"/>
              </w:divBdr>
            </w:div>
            <w:div w:id="1773670703">
              <w:marLeft w:val="0"/>
              <w:marRight w:val="0"/>
              <w:marTop w:val="0"/>
              <w:marBottom w:val="0"/>
              <w:divBdr>
                <w:top w:val="none" w:sz="0" w:space="0" w:color="auto"/>
                <w:left w:val="none" w:sz="0" w:space="0" w:color="auto"/>
                <w:bottom w:val="none" w:sz="0" w:space="0" w:color="auto"/>
                <w:right w:val="none" w:sz="0" w:space="0" w:color="auto"/>
              </w:divBdr>
            </w:div>
          </w:divsChild>
        </w:div>
        <w:div w:id="445006822">
          <w:marLeft w:val="180"/>
          <w:marRight w:val="180"/>
          <w:marTop w:val="180"/>
          <w:marBottom w:val="180"/>
          <w:divBdr>
            <w:top w:val="single" w:sz="6" w:space="0" w:color="000000"/>
            <w:left w:val="single" w:sz="6" w:space="0" w:color="000000"/>
            <w:bottom w:val="single" w:sz="6" w:space="0" w:color="000000"/>
            <w:right w:val="single" w:sz="6" w:space="0" w:color="000000"/>
          </w:divBdr>
          <w:divsChild>
            <w:div w:id="1418356393">
              <w:marLeft w:val="75"/>
              <w:marRight w:val="75"/>
              <w:marTop w:val="75"/>
              <w:marBottom w:val="75"/>
              <w:divBdr>
                <w:top w:val="none" w:sz="0" w:space="0" w:color="auto"/>
                <w:left w:val="none" w:sz="0" w:space="0" w:color="auto"/>
                <w:bottom w:val="none" w:sz="0" w:space="0" w:color="auto"/>
                <w:right w:val="none" w:sz="0" w:space="0" w:color="auto"/>
              </w:divBdr>
            </w:div>
            <w:div w:id="302783137">
              <w:marLeft w:val="0"/>
              <w:marRight w:val="0"/>
              <w:marTop w:val="0"/>
              <w:marBottom w:val="0"/>
              <w:divBdr>
                <w:top w:val="none" w:sz="0" w:space="0" w:color="auto"/>
                <w:left w:val="none" w:sz="0" w:space="0" w:color="auto"/>
                <w:bottom w:val="none" w:sz="0" w:space="0" w:color="auto"/>
                <w:right w:val="none" w:sz="0" w:space="0" w:color="auto"/>
              </w:divBdr>
            </w:div>
          </w:divsChild>
        </w:div>
        <w:div w:id="14621710">
          <w:marLeft w:val="180"/>
          <w:marRight w:val="180"/>
          <w:marTop w:val="180"/>
          <w:marBottom w:val="180"/>
          <w:divBdr>
            <w:top w:val="single" w:sz="6" w:space="0" w:color="000000"/>
            <w:left w:val="single" w:sz="6" w:space="0" w:color="000000"/>
            <w:bottom w:val="single" w:sz="6" w:space="0" w:color="000000"/>
            <w:right w:val="single" w:sz="6" w:space="0" w:color="000000"/>
          </w:divBdr>
          <w:divsChild>
            <w:div w:id="2074694384">
              <w:marLeft w:val="75"/>
              <w:marRight w:val="75"/>
              <w:marTop w:val="75"/>
              <w:marBottom w:val="75"/>
              <w:divBdr>
                <w:top w:val="none" w:sz="0" w:space="0" w:color="auto"/>
                <w:left w:val="none" w:sz="0" w:space="0" w:color="auto"/>
                <w:bottom w:val="none" w:sz="0" w:space="0" w:color="auto"/>
                <w:right w:val="none" w:sz="0" w:space="0" w:color="auto"/>
              </w:divBdr>
            </w:div>
            <w:div w:id="1326010290">
              <w:marLeft w:val="0"/>
              <w:marRight w:val="0"/>
              <w:marTop w:val="0"/>
              <w:marBottom w:val="0"/>
              <w:divBdr>
                <w:top w:val="none" w:sz="0" w:space="0" w:color="auto"/>
                <w:left w:val="none" w:sz="0" w:space="0" w:color="auto"/>
                <w:bottom w:val="none" w:sz="0" w:space="0" w:color="auto"/>
                <w:right w:val="none" w:sz="0" w:space="0" w:color="auto"/>
              </w:divBdr>
            </w:div>
          </w:divsChild>
        </w:div>
        <w:div w:id="2134401266">
          <w:marLeft w:val="180"/>
          <w:marRight w:val="180"/>
          <w:marTop w:val="180"/>
          <w:marBottom w:val="180"/>
          <w:divBdr>
            <w:top w:val="single" w:sz="6" w:space="0" w:color="000000"/>
            <w:left w:val="single" w:sz="6" w:space="0" w:color="000000"/>
            <w:bottom w:val="single" w:sz="6" w:space="0" w:color="000000"/>
            <w:right w:val="single" w:sz="6" w:space="0" w:color="000000"/>
          </w:divBdr>
          <w:divsChild>
            <w:div w:id="1422877518">
              <w:marLeft w:val="75"/>
              <w:marRight w:val="75"/>
              <w:marTop w:val="75"/>
              <w:marBottom w:val="75"/>
              <w:divBdr>
                <w:top w:val="none" w:sz="0" w:space="0" w:color="auto"/>
                <w:left w:val="none" w:sz="0" w:space="0" w:color="auto"/>
                <w:bottom w:val="none" w:sz="0" w:space="0" w:color="auto"/>
                <w:right w:val="none" w:sz="0" w:space="0" w:color="auto"/>
              </w:divBdr>
            </w:div>
            <w:div w:id="1247153513">
              <w:marLeft w:val="0"/>
              <w:marRight w:val="0"/>
              <w:marTop w:val="0"/>
              <w:marBottom w:val="0"/>
              <w:divBdr>
                <w:top w:val="none" w:sz="0" w:space="0" w:color="auto"/>
                <w:left w:val="none" w:sz="0" w:space="0" w:color="auto"/>
                <w:bottom w:val="none" w:sz="0" w:space="0" w:color="auto"/>
                <w:right w:val="none" w:sz="0" w:space="0" w:color="auto"/>
              </w:divBdr>
            </w:div>
          </w:divsChild>
        </w:div>
        <w:div w:id="531308847">
          <w:marLeft w:val="180"/>
          <w:marRight w:val="180"/>
          <w:marTop w:val="180"/>
          <w:marBottom w:val="180"/>
          <w:divBdr>
            <w:top w:val="single" w:sz="6" w:space="0" w:color="000000"/>
            <w:left w:val="single" w:sz="6" w:space="0" w:color="000000"/>
            <w:bottom w:val="single" w:sz="6" w:space="0" w:color="000000"/>
            <w:right w:val="single" w:sz="6" w:space="0" w:color="000000"/>
          </w:divBdr>
          <w:divsChild>
            <w:div w:id="1120226712">
              <w:marLeft w:val="75"/>
              <w:marRight w:val="75"/>
              <w:marTop w:val="75"/>
              <w:marBottom w:val="75"/>
              <w:divBdr>
                <w:top w:val="none" w:sz="0" w:space="0" w:color="auto"/>
                <w:left w:val="none" w:sz="0" w:space="0" w:color="auto"/>
                <w:bottom w:val="none" w:sz="0" w:space="0" w:color="auto"/>
                <w:right w:val="none" w:sz="0" w:space="0" w:color="auto"/>
              </w:divBdr>
            </w:div>
            <w:div w:id="1499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399061">
      <w:bodyDiv w:val="1"/>
      <w:marLeft w:val="0"/>
      <w:marRight w:val="0"/>
      <w:marTop w:val="0"/>
      <w:marBottom w:val="0"/>
      <w:divBdr>
        <w:top w:val="none" w:sz="0" w:space="0" w:color="auto"/>
        <w:left w:val="none" w:sz="0" w:space="0" w:color="auto"/>
        <w:bottom w:val="none" w:sz="0" w:space="0" w:color="auto"/>
        <w:right w:val="none" w:sz="0" w:space="0" w:color="auto"/>
      </w:divBdr>
      <w:divsChild>
        <w:div w:id="202717854">
          <w:marLeft w:val="0"/>
          <w:marRight w:val="0"/>
          <w:marTop w:val="0"/>
          <w:marBottom w:val="0"/>
          <w:divBdr>
            <w:top w:val="none" w:sz="0" w:space="0" w:color="auto"/>
            <w:left w:val="none" w:sz="0" w:space="0" w:color="auto"/>
            <w:bottom w:val="none" w:sz="0" w:space="0" w:color="auto"/>
            <w:right w:val="none" w:sz="0" w:space="0" w:color="auto"/>
          </w:divBdr>
          <w:divsChild>
            <w:div w:id="102959669">
              <w:marLeft w:val="0"/>
              <w:marRight w:val="0"/>
              <w:marTop w:val="0"/>
              <w:marBottom w:val="0"/>
              <w:divBdr>
                <w:top w:val="none" w:sz="0" w:space="0" w:color="auto"/>
                <w:left w:val="none" w:sz="0" w:space="0" w:color="auto"/>
                <w:bottom w:val="none" w:sz="0" w:space="0" w:color="auto"/>
                <w:right w:val="none" w:sz="0" w:space="0" w:color="auto"/>
              </w:divBdr>
            </w:div>
          </w:divsChild>
        </w:div>
        <w:div w:id="89786881">
          <w:marLeft w:val="0"/>
          <w:marRight w:val="0"/>
          <w:marTop w:val="0"/>
          <w:marBottom w:val="0"/>
          <w:divBdr>
            <w:top w:val="none" w:sz="0" w:space="0" w:color="auto"/>
            <w:left w:val="none" w:sz="0" w:space="0" w:color="auto"/>
            <w:bottom w:val="none" w:sz="0" w:space="0" w:color="auto"/>
            <w:right w:val="none" w:sz="0" w:space="0" w:color="auto"/>
          </w:divBdr>
          <w:divsChild>
            <w:div w:id="2088069147">
              <w:marLeft w:val="0"/>
              <w:marRight w:val="0"/>
              <w:marTop w:val="0"/>
              <w:marBottom w:val="0"/>
              <w:divBdr>
                <w:top w:val="none" w:sz="0" w:space="0" w:color="auto"/>
                <w:left w:val="none" w:sz="0" w:space="0" w:color="auto"/>
                <w:bottom w:val="none" w:sz="0" w:space="0" w:color="auto"/>
                <w:right w:val="none" w:sz="0" w:space="0" w:color="auto"/>
              </w:divBdr>
              <w:divsChild>
                <w:div w:id="16531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59159">
          <w:marLeft w:val="0"/>
          <w:marRight w:val="0"/>
          <w:marTop w:val="0"/>
          <w:marBottom w:val="0"/>
          <w:divBdr>
            <w:top w:val="none" w:sz="0" w:space="0" w:color="auto"/>
            <w:left w:val="none" w:sz="0" w:space="0" w:color="auto"/>
            <w:bottom w:val="none" w:sz="0" w:space="0" w:color="auto"/>
            <w:right w:val="none" w:sz="0" w:space="0" w:color="auto"/>
          </w:divBdr>
          <w:divsChild>
            <w:div w:id="1562017564">
              <w:marLeft w:val="0"/>
              <w:marRight w:val="0"/>
              <w:marTop w:val="0"/>
              <w:marBottom w:val="0"/>
              <w:divBdr>
                <w:top w:val="none" w:sz="0" w:space="0" w:color="auto"/>
                <w:left w:val="none" w:sz="0" w:space="0" w:color="auto"/>
                <w:bottom w:val="none" w:sz="0" w:space="0" w:color="auto"/>
                <w:right w:val="none" w:sz="0" w:space="0" w:color="auto"/>
              </w:divBdr>
            </w:div>
          </w:divsChild>
        </w:div>
        <w:div w:id="1715079708">
          <w:marLeft w:val="0"/>
          <w:marRight w:val="0"/>
          <w:marTop w:val="0"/>
          <w:marBottom w:val="0"/>
          <w:divBdr>
            <w:top w:val="none" w:sz="0" w:space="0" w:color="auto"/>
            <w:left w:val="none" w:sz="0" w:space="0" w:color="auto"/>
            <w:bottom w:val="none" w:sz="0" w:space="0" w:color="auto"/>
            <w:right w:val="none" w:sz="0" w:space="0" w:color="auto"/>
          </w:divBdr>
          <w:divsChild>
            <w:div w:id="276370483">
              <w:marLeft w:val="0"/>
              <w:marRight w:val="0"/>
              <w:marTop w:val="0"/>
              <w:marBottom w:val="0"/>
              <w:divBdr>
                <w:top w:val="none" w:sz="0" w:space="0" w:color="auto"/>
                <w:left w:val="none" w:sz="0" w:space="0" w:color="auto"/>
                <w:bottom w:val="none" w:sz="0" w:space="0" w:color="auto"/>
                <w:right w:val="none" w:sz="0" w:space="0" w:color="auto"/>
              </w:divBdr>
              <w:divsChild>
                <w:div w:id="14117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1219810">
      <w:bodyDiv w:val="1"/>
      <w:marLeft w:val="0"/>
      <w:marRight w:val="0"/>
      <w:marTop w:val="0"/>
      <w:marBottom w:val="0"/>
      <w:divBdr>
        <w:top w:val="none" w:sz="0" w:space="0" w:color="auto"/>
        <w:left w:val="none" w:sz="0" w:space="0" w:color="auto"/>
        <w:bottom w:val="none" w:sz="0" w:space="0" w:color="auto"/>
        <w:right w:val="none" w:sz="0" w:space="0" w:color="auto"/>
      </w:divBdr>
      <w:divsChild>
        <w:div w:id="1444886287">
          <w:marLeft w:val="0"/>
          <w:marRight w:val="0"/>
          <w:marTop w:val="0"/>
          <w:marBottom w:val="0"/>
          <w:divBdr>
            <w:top w:val="none" w:sz="0" w:space="0" w:color="auto"/>
            <w:left w:val="none" w:sz="0" w:space="0" w:color="auto"/>
            <w:bottom w:val="none" w:sz="0" w:space="0" w:color="auto"/>
            <w:right w:val="none" w:sz="0" w:space="0" w:color="auto"/>
          </w:divBdr>
          <w:divsChild>
            <w:div w:id="2007393563">
              <w:marLeft w:val="0"/>
              <w:marRight w:val="0"/>
              <w:marTop w:val="0"/>
              <w:marBottom w:val="0"/>
              <w:divBdr>
                <w:top w:val="none" w:sz="0" w:space="0" w:color="auto"/>
                <w:left w:val="none" w:sz="0" w:space="0" w:color="auto"/>
                <w:bottom w:val="none" w:sz="0" w:space="0" w:color="auto"/>
                <w:right w:val="none" w:sz="0" w:space="0" w:color="auto"/>
              </w:divBdr>
            </w:div>
          </w:divsChild>
        </w:div>
        <w:div w:id="651449720">
          <w:marLeft w:val="0"/>
          <w:marRight w:val="0"/>
          <w:marTop w:val="0"/>
          <w:marBottom w:val="0"/>
          <w:divBdr>
            <w:top w:val="none" w:sz="0" w:space="0" w:color="auto"/>
            <w:left w:val="none" w:sz="0" w:space="0" w:color="auto"/>
            <w:bottom w:val="none" w:sz="0" w:space="0" w:color="auto"/>
            <w:right w:val="none" w:sz="0" w:space="0" w:color="auto"/>
          </w:divBdr>
        </w:div>
      </w:divsChild>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9749261">
      <w:bodyDiv w:val="1"/>
      <w:marLeft w:val="0"/>
      <w:marRight w:val="0"/>
      <w:marTop w:val="0"/>
      <w:marBottom w:val="0"/>
      <w:divBdr>
        <w:top w:val="none" w:sz="0" w:space="0" w:color="auto"/>
        <w:left w:val="none" w:sz="0" w:space="0" w:color="auto"/>
        <w:bottom w:val="none" w:sz="0" w:space="0" w:color="auto"/>
        <w:right w:val="none" w:sz="0" w:space="0" w:color="auto"/>
      </w:divBdr>
      <w:divsChild>
        <w:div w:id="1113869214">
          <w:marLeft w:val="0"/>
          <w:marRight w:val="0"/>
          <w:marTop w:val="0"/>
          <w:marBottom w:val="0"/>
          <w:divBdr>
            <w:top w:val="none" w:sz="0" w:space="0" w:color="auto"/>
            <w:left w:val="none" w:sz="0" w:space="0" w:color="auto"/>
            <w:bottom w:val="none" w:sz="0" w:space="0" w:color="auto"/>
            <w:right w:val="none" w:sz="0" w:space="0" w:color="auto"/>
          </w:divBdr>
          <w:divsChild>
            <w:div w:id="1512573838">
              <w:marLeft w:val="0"/>
              <w:marRight w:val="0"/>
              <w:marTop w:val="0"/>
              <w:marBottom w:val="0"/>
              <w:divBdr>
                <w:top w:val="none" w:sz="0" w:space="0" w:color="auto"/>
                <w:left w:val="none" w:sz="0" w:space="0" w:color="auto"/>
                <w:bottom w:val="none" w:sz="0" w:space="0" w:color="auto"/>
                <w:right w:val="none" w:sz="0" w:space="0" w:color="auto"/>
              </w:divBdr>
            </w:div>
          </w:divsChild>
        </w:div>
        <w:div w:id="1591616602">
          <w:marLeft w:val="0"/>
          <w:marRight w:val="0"/>
          <w:marTop w:val="0"/>
          <w:marBottom w:val="0"/>
          <w:divBdr>
            <w:top w:val="none" w:sz="0" w:space="0" w:color="auto"/>
            <w:left w:val="none" w:sz="0" w:space="0" w:color="auto"/>
            <w:bottom w:val="none" w:sz="0" w:space="0" w:color="auto"/>
            <w:right w:val="none" w:sz="0" w:space="0" w:color="auto"/>
          </w:divBdr>
        </w:div>
        <w:div w:id="1803232818">
          <w:marLeft w:val="0"/>
          <w:marRight w:val="0"/>
          <w:marTop w:val="0"/>
          <w:marBottom w:val="0"/>
          <w:divBdr>
            <w:top w:val="none" w:sz="0" w:space="0" w:color="auto"/>
            <w:left w:val="none" w:sz="0" w:space="0" w:color="auto"/>
            <w:bottom w:val="none" w:sz="0" w:space="0" w:color="auto"/>
            <w:right w:val="none" w:sz="0" w:space="0" w:color="auto"/>
          </w:divBdr>
          <w:divsChild>
            <w:div w:id="371197014">
              <w:marLeft w:val="0"/>
              <w:marRight w:val="0"/>
              <w:marTop w:val="0"/>
              <w:marBottom w:val="0"/>
              <w:divBdr>
                <w:top w:val="none" w:sz="0" w:space="0" w:color="auto"/>
                <w:left w:val="none" w:sz="0" w:space="0" w:color="auto"/>
                <w:bottom w:val="none" w:sz="0" w:space="0" w:color="auto"/>
                <w:right w:val="none" w:sz="0" w:space="0" w:color="auto"/>
              </w:divBdr>
            </w:div>
          </w:divsChild>
        </w:div>
        <w:div w:id="176426212">
          <w:marLeft w:val="0"/>
          <w:marRight w:val="0"/>
          <w:marTop w:val="0"/>
          <w:marBottom w:val="0"/>
          <w:divBdr>
            <w:top w:val="none" w:sz="0" w:space="0" w:color="auto"/>
            <w:left w:val="none" w:sz="0" w:space="0" w:color="auto"/>
            <w:bottom w:val="none" w:sz="0" w:space="0" w:color="auto"/>
            <w:right w:val="none" w:sz="0" w:space="0" w:color="auto"/>
          </w:divBdr>
          <w:divsChild>
            <w:div w:id="1531070209">
              <w:marLeft w:val="0"/>
              <w:marRight w:val="0"/>
              <w:marTop w:val="0"/>
              <w:marBottom w:val="0"/>
              <w:divBdr>
                <w:top w:val="none" w:sz="0" w:space="0" w:color="auto"/>
                <w:left w:val="none" w:sz="0" w:space="0" w:color="auto"/>
                <w:bottom w:val="none" w:sz="0" w:space="0" w:color="auto"/>
                <w:right w:val="none" w:sz="0" w:space="0" w:color="auto"/>
              </w:divBdr>
              <w:divsChild>
                <w:div w:id="17209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8226">
          <w:marLeft w:val="0"/>
          <w:marRight w:val="0"/>
          <w:marTop w:val="0"/>
          <w:marBottom w:val="0"/>
          <w:divBdr>
            <w:top w:val="none" w:sz="0" w:space="0" w:color="auto"/>
            <w:left w:val="none" w:sz="0" w:space="0" w:color="auto"/>
            <w:bottom w:val="none" w:sz="0" w:space="0" w:color="auto"/>
            <w:right w:val="none" w:sz="0" w:space="0" w:color="auto"/>
          </w:divBdr>
          <w:divsChild>
            <w:div w:id="627466347">
              <w:marLeft w:val="0"/>
              <w:marRight w:val="0"/>
              <w:marTop w:val="0"/>
              <w:marBottom w:val="0"/>
              <w:divBdr>
                <w:top w:val="none" w:sz="0" w:space="0" w:color="auto"/>
                <w:left w:val="none" w:sz="0" w:space="0" w:color="auto"/>
                <w:bottom w:val="none" w:sz="0" w:space="0" w:color="auto"/>
                <w:right w:val="none" w:sz="0" w:space="0" w:color="auto"/>
              </w:divBdr>
            </w:div>
          </w:divsChild>
        </w:div>
        <w:div w:id="639194637">
          <w:marLeft w:val="0"/>
          <w:marRight w:val="0"/>
          <w:marTop w:val="0"/>
          <w:marBottom w:val="0"/>
          <w:divBdr>
            <w:top w:val="none" w:sz="0" w:space="0" w:color="auto"/>
            <w:left w:val="none" w:sz="0" w:space="0" w:color="auto"/>
            <w:bottom w:val="none" w:sz="0" w:space="0" w:color="auto"/>
            <w:right w:val="none" w:sz="0" w:space="0" w:color="auto"/>
          </w:divBdr>
          <w:divsChild>
            <w:div w:id="267739397">
              <w:marLeft w:val="0"/>
              <w:marRight w:val="0"/>
              <w:marTop w:val="0"/>
              <w:marBottom w:val="0"/>
              <w:divBdr>
                <w:top w:val="none" w:sz="0" w:space="0" w:color="auto"/>
                <w:left w:val="none" w:sz="0" w:space="0" w:color="auto"/>
                <w:bottom w:val="none" w:sz="0" w:space="0" w:color="auto"/>
                <w:right w:val="none" w:sz="0" w:space="0" w:color="auto"/>
              </w:divBdr>
              <w:divsChild>
                <w:div w:id="15681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6412">
          <w:marLeft w:val="0"/>
          <w:marRight w:val="0"/>
          <w:marTop w:val="0"/>
          <w:marBottom w:val="0"/>
          <w:divBdr>
            <w:top w:val="none" w:sz="0" w:space="0" w:color="auto"/>
            <w:left w:val="none" w:sz="0" w:space="0" w:color="auto"/>
            <w:bottom w:val="none" w:sz="0" w:space="0" w:color="auto"/>
            <w:right w:val="none" w:sz="0" w:space="0" w:color="auto"/>
          </w:divBdr>
          <w:divsChild>
            <w:div w:id="1590459316">
              <w:marLeft w:val="0"/>
              <w:marRight w:val="0"/>
              <w:marTop w:val="0"/>
              <w:marBottom w:val="0"/>
              <w:divBdr>
                <w:top w:val="none" w:sz="0" w:space="0" w:color="auto"/>
                <w:left w:val="none" w:sz="0" w:space="0" w:color="auto"/>
                <w:bottom w:val="none" w:sz="0" w:space="0" w:color="auto"/>
                <w:right w:val="none" w:sz="0" w:space="0" w:color="auto"/>
              </w:divBdr>
            </w:div>
          </w:divsChild>
        </w:div>
        <w:div w:id="1897860513">
          <w:marLeft w:val="0"/>
          <w:marRight w:val="0"/>
          <w:marTop w:val="0"/>
          <w:marBottom w:val="0"/>
          <w:divBdr>
            <w:top w:val="none" w:sz="0" w:space="0" w:color="auto"/>
            <w:left w:val="none" w:sz="0" w:space="0" w:color="auto"/>
            <w:bottom w:val="none" w:sz="0" w:space="0" w:color="auto"/>
            <w:right w:val="none" w:sz="0" w:space="0" w:color="auto"/>
          </w:divBdr>
          <w:divsChild>
            <w:div w:id="412822597">
              <w:marLeft w:val="0"/>
              <w:marRight w:val="0"/>
              <w:marTop w:val="0"/>
              <w:marBottom w:val="0"/>
              <w:divBdr>
                <w:top w:val="none" w:sz="0" w:space="0" w:color="auto"/>
                <w:left w:val="none" w:sz="0" w:space="0" w:color="auto"/>
                <w:bottom w:val="none" w:sz="0" w:space="0" w:color="auto"/>
                <w:right w:val="none" w:sz="0" w:space="0" w:color="auto"/>
              </w:divBdr>
              <w:divsChild>
                <w:div w:id="10680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ndex.php?title=Nasal_bilabial_sonora&amp;action=edit&amp;redlink=1" TargetMode="External"/><Relationship Id="rId21" Type="http://schemas.openxmlformats.org/officeDocument/2006/relationships/hyperlink" Target="https://es.wikipedia.org/w/index.php?title=Austral%C3%A9s&amp;action=edit&amp;redlink=1" TargetMode="External"/><Relationship Id="rId42" Type="http://schemas.openxmlformats.org/officeDocument/2006/relationships/hyperlink" Target="https://es.wikipedia.org/wiki/Idioma_tahitiano" TargetMode="External"/><Relationship Id="rId63" Type="http://schemas.openxmlformats.org/officeDocument/2006/relationships/hyperlink" Target="https://es.wikipedia.org/wiki/Lenguas_tah%C3%ADticas" TargetMode="External"/><Relationship Id="rId84" Type="http://schemas.openxmlformats.org/officeDocument/2006/relationships/hyperlink" Target="https://es.wikipedia.org/wiki/Tahit%C3%AD" TargetMode="External"/><Relationship Id="rId138" Type="http://schemas.openxmlformats.org/officeDocument/2006/relationships/hyperlink" Target="https://es.wikipedia.org/wiki/Idioma_castellano" TargetMode="External"/><Relationship Id="rId159" Type="http://schemas.openxmlformats.org/officeDocument/2006/relationships/hyperlink" Target="https://es.wikipedia.org/wiki/Idioma_griego" TargetMode="External"/><Relationship Id="rId170" Type="http://schemas.openxmlformats.org/officeDocument/2006/relationships/hyperlink" Target="https://es.wikipedia.org/wiki/Posesivo" TargetMode="External"/><Relationship Id="rId191" Type="http://schemas.openxmlformats.org/officeDocument/2006/relationships/hyperlink" Target="https://es.wikipedia.org/wiki/Denominaci%C3%B3n_de_origen" TargetMode="External"/><Relationship Id="rId205" Type="http://schemas.openxmlformats.org/officeDocument/2006/relationships/hyperlink" Target="https://es.wikipedia.org/wiki/Tambor" TargetMode="External"/><Relationship Id="rId226" Type="http://schemas.openxmlformats.org/officeDocument/2006/relationships/hyperlink" Target="https://es.wikipedia.org/wiki/2002" TargetMode="External"/><Relationship Id="rId247" Type="http://schemas.openxmlformats.org/officeDocument/2006/relationships/hyperlink" Target="https://es.wikipedia.org/wiki/Tahit%C3%AD" TargetMode="External"/><Relationship Id="rId107" Type="http://schemas.openxmlformats.org/officeDocument/2006/relationships/hyperlink" Target="https://es.wikipedia.org/wiki/Labiodental" TargetMode="External"/><Relationship Id="rId11" Type="http://schemas.openxmlformats.org/officeDocument/2006/relationships/hyperlink" Target="https://es.wikipedia.org/wiki/Lenguas_austronesias" TargetMode="External"/><Relationship Id="rId32" Type="http://schemas.openxmlformats.org/officeDocument/2006/relationships/hyperlink" Target="https://es.wikipedia.org/wiki/Idioma_tahitiano" TargetMode="External"/><Relationship Id="rId53" Type="http://schemas.openxmlformats.org/officeDocument/2006/relationships/hyperlink" Target="https://es.wikipedia.org/wiki/Samoa" TargetMode="External"/><Relationship Id="rId74" Type="http://schemas.openxmlformats.org/officeDocument/2006/relationships/hyperlink" Target="https://es.wikipedia.org/wiki/Nueva_Zelanda" TargetMode="External"/><Relationship Id="rId128" Type="http://schemas.openxmlformats.org/officeDocument/2006/relationships/hyperlink" Target="https://es.wikipedia.org/wiki/Vocal_posterior" TargetMode="External"/><Relationship Id="rId149" Type="http://schemas.openxmlformats.org/officeDocument/2006/relationships/hyperlink" Target="https://es.wikipedia.org/wiki/Tongal%C3%A9s" TargetMode="External"/><Relationship Id="rId5" Type="http://schemas.openxmlformats.org/officeDocument/2006/relationships/webSettings" Target="webSettings.xml"/><Relationship Id="rId95" Type="http://schemas.openxmlformats.org/officeDocument/2006/relationships/hyperlink" Target="https://es.wikipedia.org/wiki/Ap%C3%B3strofo" TargetMode="External"/><Relationship Id="rId160" Type="http://schemas.openxmlformats.org/officeDocument/2006/relationships/hyperlink" Target="https://es.wikipedia.org/wiki/G%C3%A9nero_gramatical" TargetMode="External"/><Relationship Id="rId181" Type="http://schemas.openxmlformats.org/officeDocument/2006/relationships/hyperlink" Target="https://es.wikipedia.org/wiki/Idioma_tahitiano" TargetMode="External"/><Relationship Id="rId216" Type="http://schemas.openxmlformats.org/officeDocument/2006/relationships/hyperlink" Target="https://es.wikipedia.org/wiki/Francia" TargetMode="External"/><Relationship Id="rId237" Type="http://schemas.openxmlformats.org/officeDocument/2006/relationships/hyperlink" Target="https://es.wikipedia.org/wiki/Tahit%C3%AD" TargetMode="External"/><Relationship Id="rId258" Type="http://schemas.openxmlformats.org/officeDocument/2006/relationships/hyperlink" Target="https://es.wikipedia.org/wiki/Australia" TargetMode="External"/><Relationship Id="rId22" Type="http://schemas.openxmlformats.org/officeDocument/2006/relationships/hyperlink" Target="https://es.wikipedia.org/wiki/Islas_Gambier" TargetMode="External"/><Relationship Id="rId43" Type="http://schemas.openxmlformats.org/officeDocument/2006/relationships/hyperlink" Target="https://es.wikipedia.org/wiki/Idioma_tahitiano" TargetMode="External"/><Relationship Id="rId64" Type="http://schemas.openxmlformats.org/officeDocument/2006/relationships/hyperlink" Target="https://es.wikipedia.org/w/index.php?title=Lenguas_marqu%C3%A9sicas&amp;action=edit&amp;redlink=1" TargetMode="External"/><Relationship Id="rId118" Type="http://schemas.openxmlformats.org/officeDocument/2006/relationships/hyperlink" Target="https://es.wikipedia.org/w/index.php?title=Nasal_alveolar_sonora&amp;action=edit&amp;redlink=1" TargetMode="External"/><Relationship Id="rId139" Type="http://schemas.openxmlformats.org/officeDocument/2006/relationships/hyperlink" Target="https://es.wikipedia.org/wiki/Macr%C3%B3n" TargetMode="External"/><Relationship Id="rId85" Type="http://schemas.openxmlformats.org/officeDocument/2006/relationships/hyperlink" Target="https://es.wikipedia.org/wiki/Siglo_XIX" TargetMode="External"/><Relationship Id="rId150" Type="http://schemas.openxmlformats.org/officeDocument/2006/relationships/hyperlink" Target="https://es.wikipedia.org/wiki/Samoano" TargetMode="External"/><Relationship Id="rId171" Type="http://schemas.openxmlformats.org/officeDocument/2006/relationships/hyperlink" Target="https://es.wikipedia.org/wiki/Adverbio" TargetMode="External"/><Relationship Id="rId192" Type="http://schemas.openxmlformats.org/officeDocument/2006/relationships/hyperlink" Target="https://es.wikipedia.org/wiki/Islote" TargetMode="External"/><Relationship Id="rId206" Type="http://schemas.openxmlformats.org/officeDocument/2006/relationships/hyperlink" Target="https://es.wikipedia.org/wiki/Flauta" TargetMode="External"/><Relationship Id="rId227" Type="http://schemas.openxmlformats.org/officeDocument/2006/relationships/hyperlink" Target="https://es.wikipedia.org/wiki/Turismo" TargetMode="External"/><Relationship Id="rId248" Type="http://schemas.openxmlformats.org/officeDocument/2006/relationships/hyperlink" Target="https://es.wikipedia.org/wiki/Tahit%C3%AD" TargetMode="External"/><Relationship Id="rId12" Type="http://schemas.openxmlformats.org/officeDocument/2006/relationships/hyperlink" Target="https://es.wikipedia.org/wiki/Lenguas_malayo-polinesias_orientales" TargetMode="External"/><Relationship Id="rId33" Type="http://schemas.openxmlformats.org/officeDocument/2006/relationships/hyperlink" Target="https://es.wikipedia.org/wiki/Idioma_tahitiano" TargetMode="External"/><Relationship Id="rId108" Type="http://schemas.openxmlformats.org/officeDocument/2006/relationships/hyperlink" Target="https://es.wikipedia.org/w/index.php?title=Alveolar&amp;action=edit&amp;redlink=1" TargetMode="External"/><Relationship Id="rId129" Type="http://schemas.openxmlformats.org/officeDocument/2006/relationships/hyperlink" Target="https://es.wikipedia.org/wiki/Vocal_cerrada" TargetMode="External"/><Relationship Id="rId54" Type="http://schemas.openxmlformats.org/officeDocument/2006/relationships/hyperlink" Target="https://es.wikipedia.org/wiki/300_a._C." TargetMode="External"/><Relationship Id="rId75" Type="http://schemas.openxmlformats.org/officeDocument/2006/relationships/hyperlink" Target="https://es.wikipedia.org/wiki/Idioma_maor%C3%AD" TargetMode="External"/><Relationship Id="rId96" Type="http://schemas.openxmlformats.org/officeDocument/2006/relationships/hyperlink" Target="https://es.wikipedia.org/wiki/Academia_Tahitiana" TargetMode="External"/><Relationship Id="rId140" Type="http://schemas.openxmlformats.org/officeDocument/2006/relationships/hyperlink" Target="https://es.wikipedia.org/wiki/Idioma_tahitiano" TargetMode="External"/><Relationship Id="rId161" Type="http://schemas.openxmlformats.org/officeDocument/2006/relationships/hyperlink" Target="https://es.wikipedia.org/wiki/Afijo" TargetMode="External"/><Relationship Id="rId182" Type="http://schemas.openxmlformats.org/officeDocument/2006/relationships/hyperlink" Target="https://es.wikipedia.org/wiki/Islas_de_la_Sociedad" TargetMode="External"/><Relationship Id="rId217" Type="http://schemas.openxmlformats.org/officeDocument/2006/relationships/hyperlink" Target="https://es.wikipedia.org/wiki/Islas_de_la_Sociedad" TargetMode="External"/><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hyperlink" Target="https://es.wikipedia.org/wiki/Manuel_de_Amat_y_Junyent" TargetMode="External"/><Relationship Id="rId233" Type="http://schemas.openxmlformats.org/officeDocument/2006/relationships/hyperlink" Target="https://es.wikipedia.org/wiki/Tahit%C3%AD" TargetMode="External"/><Relationship Id="rId238" Type="http://schemas.openxmlformats.org/officeDocument/2006/relationships/hyperlink" Target="https://es.wikipedia.org/wiki/Tahit%C3%AD" TargetMode="External"/><Relationship Id="rId254" Type="http://schemas.openxmlformats.org/officeDocument/2006/relationships/hyperlink" Target="https://es.wikipedia.org/wiki/Tahit%C3%AD" TargetMode="External"/><Relationship Id="rId259" Type="http://schemas.openxmlformats.org/officeDocument/2006/relationships/hyperlink" Target="https://es.wikipedia.org/wiki/Islas_de_la_Sociedad" TargetMode="External"/><Relationship Id="rId23" Type="http://schemas.openxmlformats.org/officeDocument/2006/relationships/hyperlink" Target="https://es.wikipedia.org/wiki/Idioma_franc%C3%A9s" TargetMode="External"/><Relationship Id="rId28" Type="http://schemas.openxmlformats.org/officeDocument/2006/relationships/hyperlink" Target="https://es.wikipedia.org/wiki/Idioma_tahitiano" TargetMode="External"/><Relationship Id="rId49" Type="http://schemas.openxmlformats.org/officeDocument/2006/relationships/hyperlink" Target="https://es.wikipedia.org/w/index.php?title=Cultura_Lapita&amp;action=edit&amp;redlink=1" TargetMode="External"/><Relationship Id="rId114" Type="http://schemas.openxmlformats.org/officeDocument/2006/relationships/hyperlink" Target="https://es.wikipedia.org/wiki/Oclusiva_alveolar_sorda" TargetMode="External"/><Relationship Id="rId119" Type="http://schemas.openxmlformats.org/officeDocument/2006/relationships/hyperlink" Target="https://es.wikipedia.org/w/index.php?title=Vibrante&amp;action=edit&amp;redlink=1" TargetMode="External"/><Relationship Id="rId44" Type="http://schemas.openxmlformats.org/officeDocument/2006/relationships/hyperlink" Target="https://es.wikipedia.org/wiki/Idioma_tahitiano" TargetMode="External"/><Relationship Id="rId60" Type="http://schemas.openxmlformats.org/officeDocument/2006/relationships/hyperlink" Target="https://es.wikipedia.org/wiki/Islas_Marquesas" TargetMode="External"/><Relationship Id="rId65" Type="http://schemas.openxmlformats.org/officeDocument/2006/relationships/hyperlink" Target="https://es.wikipedia.org/wiki/Tongano" TargetMode="External"/><Relationship Id="rId81" Type="http://schemas.openxmlformats.org/officeDocument/2006/relationships/hyperlink" Target="https://es.wikipedia.org/wiki/Etnograf%C3%ADa" TargetMode="External"/><Relationship Id="rId86" Type="http://schemas.openxmlformats.org/officeDocument/2006/relationships/hyperlink" Target="https://es.wikipedia.org/wiki/1810" TargetMode="External"/><Relationship Id="rId130" Type="http://schemas.openxmlformats.org/officeDocument/2006/relationships/hyperlink" Target="https://es.wikipedia.org/wiki/Vocal_cerrada_anterior_no_redondeada" TargetMode="External"/><Relationship Id="rId135" Type="http://schemas.openxmlformats.org/officeDocument/2006/relationships/hyperlink" Target="https://es.wikipedia.org/wiki/Vocal_abierta" TargetMode="External"/><Relationship Id="rId151" Type="http://schemas.openxmlformats.org/officeDocument/2006/relationships/hyperlink" Target="https://es.wikipedia.org/wiki/Maor%C3%AD" TargetMode="External"/><Relationship Id="rId156" Type="http://schemas.openxmlformats.org/officeDocument/2006/relationships/hyperlink" Target="https://es.wikipedia.org/wiki/Determinante_%28ling%C3%BC%C3%ADstica%29" TargetMode="External"/><Relationship Id="rId177" Type="http://schemas.openxmlformats.org/officeDocument/2006/relationships/hyperlink" Target="https://es.wikipedia.org/wiki/Tahit%C3%AD" TargetMode="External"/><Relationship Id="rId198" Type="http://schemas.openxmlformats.org/officeDocument/2006/relationships/hyperlink" Target="https://es.wikipedia.org/wiki/Paul_Gauguin" TargetMode="External"/><Relationship Id="rId172" Type="http://schemas.openxmlformats.org/officeDocument/2006/relationships/hyperlink" Target="https://es.wikipedia.org/wiki/Sujeto_%28gram%C3%A1tica%29" TargetMode="External"/><Relationship Id="rId193" Type="http://schemas.openxmlformats.org/officeDocument/2006/relationships/hyperlink" Target="https://es.wikipedia.org/wiki/Coral" TargetMode="External"/><Relationship Id="rId202" Type="http://schemas.openxmlformats.org/officeDocument/2006/relationships/hyperlink" Target="https://es.wikipedia.org/wiki/Bastilla" TargetMode="External"/><Relationship Id="rId207" Type="http://schemas.openxmlformats.org/officeDocument/2006/relationships/hyperlink" Target="https://es.wikipedia.org/wiki/Ukelele" TargetMode="External"/><Relationship Id="rId223" Type="http://schemas.openxmlformats.org/officeDocument/2006/relationships/hyperlink" Target="https://es.wikipedia.org/wiki/Domingo_de_Bonechea" TargetMode="External"/><Relationship Id="rId228" Type="http://schemas.openxmlformats.org/officeDocument/2006/relationships/hyperlink" Target="https://es.wikipedia.org/wiki/Idioma_franc%C3%A9s" TargetMode="External"/><Relationship Id="rId244" Type="http://schemas.openxmlformats.org/officeDocument/2006/relationships/hyperlink" Target="https://es.wikipedia.org/wiki/Tahit%C3%AD" TargetMode="External"/><Relationship Id="rId249" Type="http://schemas.openxmlformats.org/officeDocument/2006/relationships/hyperlink" Target="https://es.wikipedia.org/wiki/Tahit%C3%AD" TargetMode="External"/><Relationship Id="rId13" Type="http://schemas.openxmlformats.org/officeDocument/2006/relationships/hyperlink" Target="https://es.wikipedia.org/wiki/Tahit%C3%AD" TargetMode="External"/><Relationship Id="rId18" Type="http://schemas.openxmlformats.org/officeDocument/2006/relationships/hyperlink" Target="https://es.wikipedia.org/wiki/Tuamotu" TargetMode="External"/><Relationship Id="rId39" Type="http://schemas.openxmlformats.org/officeDocument/2006/relationships/hyperlink" Target="https://es.wikipedia.org/wiki/Idioma_tahitiano" TargetMode="External"/><Relationship Id="rId109" Type="http://schemas.openxmlformats.org/officeDocument/2006/relationships/hyperlink" Target="https://es.wikipedia.org/w/index.php?title=Glotal&amp;action=edit&amp;redlink=1" TargetMode="External"/><Relationship Id="rId260" Type="http://schemas.openxmlformats.org/officeDocument/2006/relationships/hyperlink" Target="https://es.wikipedia.org/wiki/Polinesia_Francesa" TargetMode="External"/><Relationship Id="rId34" Type="http://schemas.openxmlformats.org/officeDocument/2006/relationships/hyperlink" Target="https://es.wikipedia.org/wiki/Idioma_tahitiano" TargetMode="External"/><Relationship Id="rId50" Type="http://schemas.openxmlformats.org/officeDocument/2006/relationships/hyperlink" Target="https://es.wikipedia.org/wiki/Nueva_Guinea" TargetMode="External"/><Relationship Id="rId55" Type="http://schemas.openxmlformats.org/officeDocument/2006/relationships/hyperlink" Target="https://es.wikipedia.org/wiki/Melanesia" TargetMode="External"/><Relationship Id="rId76" Type="http://schemas.openxmlformats.org/officeDocument/2006/relationships/hyperlink" Target="https://es.wikipedia.org/w/index.php?title=Maor%C3%AD_de_las_Islas_Cook&amp;action=edit&amp;redlink=1" TargetMode="External"/><Relationship Id="rId97" Type="http://schemas.openxmlformats.org/officeDocument/2006/relationships/hyperlink" Target="https://es.wikipedia.org/wiki/Polinesia_Francesa" TargetMode="External"/><Relationship Id="rId104" Type="http://schemas.openxmlformats.org/officeDocument/2006/relationships/hyperlink" Target="https://es.wikipedia.org/wiki/Idioma_hawaiano" TargetMode="External"/><Relationship Id="rId120" Type="http://schemas.openxmlformats.org/officeDocument/2006/relationships/hyperlink" Target="https://es.wikipedia.org/w/index.php?title=Vibrante_alveolar_sonora&amp;action=edit&amp;redlink=1" TargetMode="External"/><Relationship Id="rId125" Type="http://schemas.openxmlformats.org/officeDocument/2006/relationships/hyperlink" Target="https://es.wikipedia.org/wiki/Vocal" TargetMode="External"/><Relationship Id="rId141" Type="http://schemas.openxmlformats.org/officeDocument/2006/relationships/hyperlink" Target="https://commons.wikimedia.org/wiki/File:Ltspkr.png" TargetMode="External"/><Relationship Id="rId146" Type="http://schemas.openxmlformats.org/officeDocument/2006/relationships/hyperlink" Target="https://es.wikipedia.org/w/index.php?title=Vocal_quasicerrada_quasiposterior&amp;action=edit&amp;redlink=1" TargetMode="External"/><Relationship Id="rId167" Type="http://schemas.openxmlformats.org/officeDocument/2006/relationships/hyperlink" Target="https://es.wikipedia.org/wiki/Demostrativo" TargetMode="External"/><Relationship Id="rId188" Type="http://schemas.openxmlformats.org/officeDocument/2006/relationships/hyperlink" Target="https://es.wikipedia.org/wiki/Declaraci%C3%B3n_universal_de_los_derechos_humanos" TargetMode="External"/><Relationship Id="rId7" Type="http://schemas.openxmlformats.org/officeDocument/2006/relationships/image" Target="media/image2.jpeg"/><Relationship Id="rId71" Type="http://schemas.openxmlformats.org/officeDocument/2006/relationships/hyperlink" Target="https://es.wikipedia.org/wiki/Hawaii" TargetMode="External"/><Relationship Id="rId92" Type="http://schemas.openxmlformats.org/officeDocument/2006/relationships/hyperlink" Target="https://es.wikipedia.org/wiki/Lenguas_rom%C3%A1nicas" TargetMode="External"/><Relationship Id="rId162" Type="http://schemas.openxmlformats.org/officeDocument/2006/relationships/hyperlink" Target="https://es.wikipedia.org/wiki/Verbo" TargetMode="External"/><Relationship Id="rId183" Type="http://schemas.openxmlformats.org/officeDocument/2006/relationships/hyperlink" Target="https://es.wikipedia.org/wiki/Pidgin" TargetMode="External"/><Relationship Id="rId213" Type="http://schemas.openxmlformats.org/officeDocument/2006/relationships/hyperlink" Target="https://es.wikipedia.org/wiki/Isla" TargetMode="External"/><Relationship Id="rId218" Type="http://schemas.openxmlformats.org/officeDocument/2006/relationships/hyperlink" Target="https://es.wikipedia.org/wiki/Oc%C3%A9ano_Pac%C3%ADfico" TargetMode="External"/><Relationship Id="rId234" Type="http://schemas.openxmlformats.org/officeDocument/2006/relationships/hyperlink" Target="https://es.wikipedia.org/wiki/Tahit%C3%AD" TargetMode="External"/><Relationship Id="rId239" Type="http://schemas.openxmlformats.org/officeDocument/2006/relationships/hyperlink" Target="https://es.wikipedia.org/wiki/Tahit%C3%AD" TargetMode="External"/><Relationship Id="rId2" Type="http://schemas.openxmlformats.org/officeDocument/2006/relationships/numbering" Target="numbering.xml"/><Relationship Id="rId29" Type="http://schemas.openxmlformats.org/officeDocument/2006/relationships/hyperlink" Target="https://es.wikipedia.org/wiki/Idioma_tahitiano" TargetMode="External"/><Relationship Id="rId250" Type="http://schemas.openxmlformats.org/officeDocument/2006/relationships/hyperlink" Target="https://es.wikipedia.org/wiki/Tahit%C3%AD" TargetMode="External"/><Relationship Id="rId255" Type="http://schemas.openxmlformats.org/officeDocument/2006/relationships/hyperlink" Target="https://es.wikipedia.org/wiki/Tahit%C3%AD" TargetMode="External"/><Relationship Id="rId24" Type="http://schemas.openxmlformats.org/officeDocument/2006/relationships/hyperlink" Target="https://es.wikipedia.org/wiki/Lengua_est%C3%A1ndar" TargetMode="External"/><Relationship Id="rId40" Type="http://schemas.openxmlformats.org/officeDocument/2006/relationships/hyperlink" Target="https://es.wikipedia.org/wiki/Idioma_tahitiano" TargetMode="External"/><Relationship Id="rId45" Type="http://schemas.openxmlformats.org/officeDocument/2006/relationships/hyperlink" Target="https://es.wikipedia.org/wiki/Idioma_tahitiano" TargetMode="External"/><Relationship Id="rId66" Type="http://schemas.openxmlformats.org/officeDocument/2006/relationships/hyperlink" Target="https://es.wikipedia.org/w/index.php?title=Niu%C3%A9s&amp;action=edit&amp;redlink=1" TargetMode="External"/><Relationship Id="rId87" Type="http://schemas.openxmlformats.org/officeDocument/2006/relationships/hyperlink" Target="https://es.wikipedia.org/wiki/Idioma_tahitiano" TargetMode="External"/><Relationship Id="rId110" Type="http://schemas.openxmlformats.org/officeDocument/2006/relationships/hyperlink" Target="https://es.wikipedia.org/w/index.php?title=Articulaci%C3%B3n_sorda&amp;action=edit&amp;redlink=1" TargetMode="External"/><Relationship Id="rId115" Type="http://schemas.openxmlformats.org/officeDocument/2006/relationships/hyperlink" Target="https://es.wikipedia.org/wiki/Oclusiva_glotal_sorda" TargetMode="External"/><Relationship Id="rId131" Type="http://schemas.openxmlformats.org/officeDocument/2006/relationships/hyperlink" Target="https://es.wikipedia.org/wiki/Vocal_cerrada_posterior_redondeada" TargetMode="External"/><Relationship Id="rId136" Type="http://schemas.openxmlformats.org/officeDocument/2006/relationships/hyperlink" Target="https://es.wikipedia.org/wiki/Vocal_abierta_anterior_no_redondeada" TargetMode="External"/><Relationship Id="rId157" Type="http://schemas.openxmlformats.org/officeDocument/2006/relationships/hyperlink" Target="https://es.wikipedia.org/wiki/N%C3%BAmero" TargetMode="External"/><Relationship Id="rId178" Type="http://schemas.openxmlformats.org/officeDocument/2006/relationships/hyperlink" Target="https://es.wikipedia.org/wiki/Francia" TargetMode="External"/><Relationship Id="rId61" Type="http://schemas.openxmlformats.org/officeDocument/2006/relationships/hyperlink" Target="https://es.wikipedia.org/w/index.php?title=Lenguas_t%C3%B3nguicas&amp;action=edit&amp;redlink=1" TargetMode="External"/><Relationship Id="rId82" Type="http://schemas.openxmlformats.org/officeDocument/2006/relationships/hyperlink" Target="https://es.wikipedia.org/wiki/Siglo_XVIII" TargetMode="External"/><Relationship Id="rId152" Type="http://schemas.openxmlformats.org/officeDocument/2006/relationships/hyperlink" Target="https://es.wikipedia.org/w/index.php?title=Morfolog%C3%ADa_flexiva&amp;action=edit&amp;redlink=1" TargetMode="External"/><Relationship Id="rId173" Type="http://schemas.openxmlformats.org/officeDocument/2006/relationships/hyperlink" Target="https://es.wikipedia.org/wiki/Verbo_transitivo" TargetMode="External"/><Relationship Id="rId194" Type="http://schemas.openxmlformats.org/officeDocument/2006/relationships/hyperlink" Target="https://es.wikipedia.org/wiki/Atol%C3%B3n" TargetMode="External"/><Relationship Id="rId199" Type="http://schemas.openxmlformats.org/officeDocument/2006/relationships/hyperlink" Target="https://es.wikipedia.org/wiki/A%C3%B1os_1890" TargetMode="External"/><Relationship Id="rId203" Type="http://schemas.openxmlformats.org/officeDocument/2006/relationships/hyperlink" Target="https://es.wikipedia.org/wiki/Perla" TargetMode="External"/><Relationship Id="rId208" Type="http://schemas.openxmlformats.org/officeDocument/2006/relationships/hyperlink" Target="https://es.wikipedia.org/wiki/Folklore" TargetMode="External"/><Relationship Id="rId229" Type="http://schemas.openxmlformats.org/officeDocument/2006/relationships/hyperlink" Target="https://es.wikipedia.org/wiki/Tahit%C3%AD" TargetMode="External"/><Relationship Id="rId19" Type="http://schemas.openxmlformats.org/officeDocument/2006/relationships/hyperlink" Target="https://es.wikipedia.org/wiki/Islas_Marquesas" TargetMode="External"/><Relationship Id="rId224" Type="http://schemas.openxmlformats.org/officeDocument/2006/relationships/hyperlink" Target="https://es.wikipedia.org/wiki/Virrey_del_Per%C3%BA" TargetMode="External"/><Relationship Id="rId240" Type="http://schemas.openxmlformats.org/officeDocument/2006/relationships/hyperlink" Target="https://es.wikipedia.org/wiki/Tahit%C3%AD" TargetMode="External"/><Relationship Id="rId245" Type="http://schemas.openxmlformats.org/officeDocument/2006/relationships/hyperlink" Target="https://es.wikipedia.org/wiki/Tahit%C3%AD" TargetMode="External"/><Relationship Id="rId261" Type="http://schemas.openxmlformats.org/officeDocument/2006/relationships/hyperlink" Target="https://commons.wikimedia.org/wiki/File:Portdepapeete.jpg" TargetMode="External"/><Relationship Id="rId14" Type="http://schemas.openxmlformats.org/officeDocument/2006/relationships/hyperlink" Target="https://es.wikipedia.org/wiki/Islas_de_la_Sociedad" TargetMode="External"/><Relationship Id="rId30" Type="http://schemas.openxmlformats.org/officeDocument/2006/relationships/hyperlink" Target="https://es.wikipedia.org/wiki/Idioma_tahitiano" TargetMode="External"/><Relationship Id="rId35" Type="http://schemas.openxmlformats.org/officeDocument/2006/relationships/hyperlink" Target="https://es.wikipedia.org/wiki/Idioma_tahitiano" TargetMode="External"/><Relationship Id="rId56" Type="http://schemas.openxmlformats.org/officeDocument/2006/relationships/hyperlink" Target="https://es.wikipedia.org/wiki/Melanesia" TargetMode="External"/><Relationship Id="rId77" Type="http://schemas.openxmlformats.org/officeDocument/2006/relationships/hyperlink" Target="https://es.wikipedia.org/wiki/Oclusiva_glotal_sorda" TargetMode="External"/><Relationship Id="rId100" Type="http://schemas.openxmlformats.org/officeDocument/2006/relationships/hyperlink" Target="https://es.wikipedia.org/w/index.php?title=Turo_a_Raapoto&amp;action=edit&amp;redlink=1" TargetMode="External"/><Relationship Id="rId105" Type="http://schemas.openxmlformats.org/officeDocument/2006/relationships/hyperlink" Target="https://es.wikipedia.org/wiki/Consonante" TargetMode="External"/><Relationship Id="rId126" Type="http://schemas.openxmlformats.org/officeDocument/2006/relationships/hyperlink" Target="https://es.wikipedia.org/wiki/Vocal_anterior" TargetMode="External"/><Relationship Id="rId147" Type="http://schemas.openxmlformats.org/officeDocument/2006/relationships/hyperlink" Target="https://es.wikipedia.org/wiki/Barbarismo" TargetMode="External"/><Relationship Id="rId168" Type="http://schemas.openxmlformats.org/officeDocument/2006/relationships/hyperlink" Target="https://es.wikipedia.org/wiki/Idioma_espa%C3%B1ol" TargetMode="External"/><Relationship Id="rId8" Type="http://schemas.openxmlformats.org/officeDocument/2006/relationships/image" Target="media/image3.jpeg"/><Relationship Id="rId51" Type="http://schemas.openxmlformats.org/officeDocument/2006/relationships/hyperlink" Target="https://es.wikipedia.org/wiki/Fiyi" TargetMode="External"/><Relationship Id="rId72" Type="http://schemas.openxmlformats.org/officeDocument/2006/relationships/hyperlink" Target="https://es.wikipedia.org/wiki/400" TargetMode="External"/><Relationship Id="rId93" Type="http://schemas.openxmlformats.org/officeDocument/2006/relationships/hyperlink" Target="https://es.wikipedia.org/wiki/Oclusiva_glotal" TargetMode="External"/><Relationship Id="rId98" Type="http://schemas.openxmlformats.org/officeDocument/2006/relationships/hyperlink" Target="https://es.wikipedia.org/wiki/Tahit%C3%AD" TargetMode="External"/><Relationship Id="rId121" Type="http://schemas.openxmlformats.org/officeDocument/2006/relationships/hyperlink" Target="https://es.wikipedia.org/wiki/Fricativa" TargetMode="External"/><Relationship Id="rId142" Type="http://schemas.openxmlformats.org/officeDocument/2006/relationships/hyperlink" Target="https://upload.wikimedia.org/wikipedia/commons/4/4d/Glottal_stop.ogg" TargetMode="External"/><Relationship Id="rId163" Type="http://schemas.openxmlformats.org/officeDocument/2006/relationships/hyperlink" Target="https://es.wikipedia.org/wiki/Idioma_catal%C3%A1n" TargetMode="External"/><Relationship Id="rId184" Type="http://schemas.openxmlformats.org/officeDocument/2006/relationships/hyperlink" Target="https://es.wikipedia.org/wiki/2004" TargetMode="External"/><Relationship Id="rId189" Type="http://schemas.openxmlformats.org/officeDocument/2006/relationships/hyperlink" Target="https://es.wikipedia.org/wiki/Idioma_tahitiano" TargetMode="External"/><Relationship Id="rId219" Type="http://schemas.openxmlformats.org/officeDocument/2006/relationships/hyperlink" Target="https://es.wikipedia.org/wiki/Papeete" TargetMode="External"/><Relationship Id="rId3" Type="http://schemas.openxmlformats.org/officeDocument/2006/relationships/styles" Target="styles.xml"/><Relationship Id="rId214" Type="http://schemas.openxmlformats.org/officeDocument/2006/relationships/hyperlink" Target="https://es.wikipedia.org/wiki/Polinesia_Francesa" TargetMode="External"/><Relationship Id="rId230" Type="http://schemas.openxmlformats.org/officeDocument/2006/relationships/hyperlink" Target="https://es.wikipedia.org/wiki/Tahit%C3%AD" TargetMode="External"/><Relationship Id="rId235" Type="http://schemas.openxmlformats.org/officeDocument/2006/relationships/hyperlink" Target="https://es.wikipedia.org/wiki/Tahit%C3%AD" TargetMode="External"/><Relationship Id="rId251" Type="http://schemas.openxmlformats.org/officeDocument/2006/relationships/hyperlink" Target="https://es.wikipedia.org/wiki/Tahit%C3%AD" TargetMode="External"/><Relationship Id="rId256" Type="http://schemas.openxmlformats.org/officeDocument/2006/relationships/hyperlink" Target="https://es.wikipedia.org/wiki/Haw%C3%A1i" TargetMode="External"/><Relationship Id="rId25" Type="http://schemas.openxmlformats.org/officeDocument/2006/relationships/hyperlink" Target="https://es.wikipedia.org/wiki/Siglo_XIX" TargetMode="External"/><Relationship Id="rId46" Type="http://schemas.openxmlformats.org/officeDocument/2006/relationships/hyperlink" Target="https://es.wikipedia.org/wiki/Idioma_tahitiano" TargetMode="External"/><Relationship Id="rId67" Type="http://schemas.openxmlformats.org/officeDocument/2006/relationships/hyperlink" Target="https://es.wikipedia.org/w/index.php?title=Protopolinesio&amp;action=edit&amp;redlink=1" TargetMode="External"/><Relationship Id="rId116" Type="http://schemas.openxmlformats.org/officeDocument/2006/relationships/hyperlink" Target="https://es.wikipedia.org/wiki/Nasal" TargetMode="External"/><Relationship Id="rId137" Type="http://schemas.openxmlformats.org/officeDocument/2006/relationships/hyperlink" Target="https://es.wikipedia.org/wiki/Indoeuropeo" TargetMode="External"/><Relationship Id="rId158" Type="http://schemas.openxmlformats.org/officeDocument/2006/relationships/hyperlink" Target="https://es.wikipedia.org/wiki/Art%C3%ADculo" TargetMode="External"/><Relationship Id="rId20" Type="http://schemas.openxmlformats.org/officeDocument/2006/relationships/hyperlink" Target="https://es.wikipedia.org/wiki/Islas_Australes" TargetMode="External"/><Relationship Id="rId41" Type="http://schemas.openxmlformats.org/officeDocument/2006/relationships/hyperlink" Target="https://es.wikipedia.org/wiki/Idioma_tahitiano" TargetMode="External"/><Relationship Id="rId62" Type="http://schemas.openxmlformats.org/officeDocument/2006/relationships/hyperlink" Target="https://es.wikipedia.org/w/index.php?title=Lenguas_samoicas&amp;action=edit&amp;redlink=1" TargetMode="External"/><Relationship Id="rId83" Type="http://schemas.openxmlformats.org/officeDocument/2006/relationships/hyperlink" Target="https://es.wikipedia.org/w/index.php?title=Mares_del_sur&amp;action=edit&amp;redlink=1" TargetMode="External"/><Relationship Id="rId88" Type="http://schemas.openxmlformats.org/officeDocument/2006/relationships/hyperlink" Target="https://es.wikipedia.org/wiki/Francia" TargetMode="External"/><Relationship Id="rId111" Type="http://schemas.openxmlformats.org/officeDocument/2006/relationships/hyperlink" Target="https://es.wikipedia.org/w/index.php?title=Articulaci%C3%B3n_sonora&amp;action=edit&amp;redlink=1" TargetMode="External"/><Relationship Id="rId132" Type="http://schemas.openxmlformats.org/officeDocument/2006/relationships/hyperlink" Target="https://es.wikipedia.org/wiki/Vocal_semicerrada" TargetMode="External"/><Relationship Id="rId153" Type="http://schemas.openxmlformats.org/officeDocument/2006/relationships/hyperlink" Target="https://es.wikipedia.org/wiki/Flexi%C3%B3n_%28ling%C3%BC%C3%ADstica%29" TargetMode="External"/><Relationship Id="rId174" Type="http://schemas.openxmlformats.org/officeDocument/2006/relationships/hyperlink" Target="https://es.wikipedia.org/wiki/Complemento_directo" TargetMode="External"/><Relationship Id="rId179" Type="http://schemas.openxmlformats.org/officeDocument/2006/relationships/hyperlink" Target="https://es.wikipedia.org/wiki/1881" TargetMode="External"/><Relationship Id="rId195" Type="http://schemas.openxmlformats.org/officeDocument/2006/relationships/hyperlink" Target="https://es.wikipedia.org/wiki/Arrecife" TargetMode="External"/><Relationship Id="rId209" Type="http://schemas.openxmlformats.org/officeDocument/2006/relationships/hyperlink" Target="https://es.wikipedia.org/wiki/Haw%C3%A1i" TargetMode="External"/><Relationship Id="rId190" Type="http://schemas.openxmlformats.org/officeDocument/2006/relationships/hyperlink" Target="https://es.wikipedia.org/wiki/Pr%C3%A9stamo_ling%C3%BC%C3%ADstico" TargetMode="External"/><Relationship Id="rId204" Type="http://schemas.openxmlformats.org/officeDocument/2006/relationships/hyperlink" Target="https://es.wikipedia.org/wiki/Instrumento_musical" TargetMode="External"/><Relationship Id="rId220" Type="http://schemas.openxmlformats.org/officeDocument/2006/relationships/hyperlink" Target="https://es.wikipedia.org/w/index.php?title=Istmo_de_Taravao&amp;action=edit&amp;redlink=1" TargetMode="External"/><Relationship Id="rId225" Type="http://schemas.openxmlformats.org/officeDocument/2006/relationships/hyperlink" Target="https://es.wikipedia.org/wiki/Manuel_de_Amat_y_Juniet" TargetMode="External"/><Relationship Id="rId241" Type="http://schemas.openxmlformats.org/officeDocument/2006/relationships/hyperlink" Target="https://es.wikipedia.org/wiki/Tahit%C3%AD" TargetMode="External"/><Relationship Id="rId246" Type="http://schemas.openxmlformats.org/officeDocument/2006/relationships/hyperlink" Target="https://es.wikipedia.org/wiki/Tahit%C3%AD" TargetMode="External"/><Relationship Id="rId15" Type="http://schemas.openxmlformats.org/officeDocument/2006/relationships/hyperlink" Target="https://es.wikipedia.org/wiki/Lenguas_polinesias" TargetMode="External"/><Relationship Id="rId36" Type="http://schemas.openxmlformats.org/officeDocument/2006/relationships/hyperlink" Target="https://es.wikipedia.org/wiki/Idioma_tahitiano" TargetMode="External"/><Relationship Id="rId57" Type="http://schemas.openxmlformats.org/officeDocument/2006/relationships/hyperlink" Target="https://es.wikipedia.org/wiki/Islas_Cook" TargetMode="External"/><Relationship Id="rId106" Type="http://schemas.openxmlformats.org/officeDocument/2006/relationships/hyperlink" Target="https://es.wikipedia.org/wiki/Bilabial" TargetMode="External"/><Relationship Id="rId127" Type="http://schemas.openxmlformats.org/officeDocument/2006/relationships/hyperlink" Target="https://es.wikipedia.org/wiki/Vocal_central" TargetMode="External"/><Relationship Id="rId262"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https://es.wikipedia.org/wiki/Idioma_tahitiano" TargetMode="External"/><Relationship Id="rId52" Type="http://schemas.openxmlformats.org/officeDocument/2006/relationships/hyperlink" Target="https://es.wikipedia.org/wiki/Tonga" TargetMode="External"/><Relationship Id="rId73" Type="http://schemas.openxmlformats.org/officeDocument/2006/relationships/hyperlink" Target="https://es.wikipedia.org/wiki/Siglo_XI" TargetMode="External"/><Relationship Id="rId78" Type="http://schemas.openxmlformats.org/officeDocument/2006/relationships/hyperlink" Target="https://es.wikipedia.org/wiki/Tahitiano" TargetMode="External"/><Relationship Id="rId94" Type="http://schemas.openxmlformats.org/officeDocument/2006/relationships/hyperlink" Target="https://es.wikipedia.org/wiki/Idioma_hawaiano" TargetMode="External"/><Relationship Id="rId99" Type="http://schemas.openxmlformats.org/officeDocument/2006/relationships/hyperlink" Target="https://es.wikipedia.org/wiki/Idioma_tahitiano" TargetMode="External"/><Relationship Id="rId101" Type="http://schemas.openxmlformats.org/officeDocument/2006/relationships/hyperlink" Target="https://es.wikipedia.org/wiki/Macr%C3%B3n" TargetMode="External"/><Relationship Id="rId122" Type="http://schemas.openxmlformats.org/officeDocument/2006/relationships/hyperlink" Target="https://es.wikipedia.org/wiki/Fricativa_labiodental_sorda" TargetMode="External"/><Relationship Id="rId143" Type="http://schemas.openxmlformats.org/officeDocument/2006/relationships/hyperlink" Target="https://es.wikipedia.org/wiki/Hiato" TargetMode="External"/><Relationship Id="rId148" Type="http://schemas.openxmlformats.org/officeDocument/2006/relationships/hyperlink" Target="https://es.wikipedia.org/wiki/Pr%C3%A9stamo_ling%C3%BC%C3%ADstico" TargetMode="External"/><Relationship Id="rId164" Type="http://schemas.openxmlformats.org/officeDocument/2006/relationships/hyperlink" Target="https://es.wikipedia.org/w/index.php?title=Art%C3%ADculo_personal&amp;action=edit&amp;redlink=1" TargetMode="External"/><Relationship Id="rId169" Type="http://schemas.openxmlformats.org/officeDocument/2006/relationships/hyperlink" Target="https://es.wikipedia.org/wiki/Idioma_franc%C3%A9s" TargetMode="External"/><Relationship Id="rId185" Type="http://schemas.openxmlformats.org/officeDocument/2006/relationships/hyperlink" Target="https://es.wikipedia.org/wiki/2004"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Polinesia_Francesa" TargetMode="External"/><Relationship Id="rId210" Type="http://schemas.openxmlformats.org/officeDocument/2006/relationships/hyperlink" Target="https://commons.wikimedia.org/wiki/File:Papeete_-_Lagon.JPG" TargetMode="External"/><Relationship Id="rId215" Type="http://schemas.openxmlformats.org/officeDocument/2006/relationships/hyperlink" Target="https://es.wikipedia.org/wiki/Ultramar" TargetMode="External"/><Relationship Id="rId236" Type="http://schemas.openxmlformats.org/officeDocument/2006/relationships/hyperlink" Target="https://es.wikipedia.org/wiki/Tahit%C3%AD" TargetMode="External"/><Relationship Id="rId257" Type="http://schemas.openxmlformats.org/officeDocument/2006/relationships/hyperlink" Target="https://es.wikipedia.org/wiki/Chile" TargetMode="External"/><Relationship Id="rId26" Type="http://schemas.openxmlformats.org/officeDocument/2006/relationships/hyperlink" Target="https://es.wikipedia.org/wiki/Alfabeto_latino" TargetMode="External"/><Relationship Id="rId231" Type="http://schemas.openxmlformats.org/officeDocument/2006/relationships/hyperlink" Target="https://es.wikipedia.org/wiki/Tahit%C3%AD" TargetMode="External"/><Relationship Id="rId252" Type="http://schemas.openxmlformats.org/officeDocument/2006/relationships/hyperlink" Target="https://es.wikipedia.org/wiki/Tahit%C3%AD" TargetMode="External"/><Relationship Id="rId47" Type="http://schemas.openxmlformats.org/officeDocument/2006/relationships/hyperlink" Target="https://es.wikipedia.org/wiki/Lenguas_malayo-polinesias" TargetMode="External"/><Relationship Id="rId68" Type="http://schemas.openxmlformats.org/officeDocument/2006/relationships/hyperlink" Target="https://es.wikipedia.org/wiki/Islas_Cook" TargetMode="External"/><Relationship Id="rId89" Type="http://schemas.openxmlformats.org/officeDocument/2006/relationships/hyperlink" Target="https://es.wikipedia.org/wiki/1881" TargetMode="External"/><Relationship Id="rId112" Type="http://schemas.openxmlformats.org/officeDocument/2006/relationships/hyperlink" Target="https://es.wikipedia.org/wiki/Oclusiva" TargetMode="External"/><Relationship Id="rId133" Type="http://schemas.openxmlformats.org/officeDocument/2006/relationships/hyperlink" Target="https://es.wikipedia.org/wiki/Vocal_semicerrada_anterior_no_redondeada" TargetMode="External"/><Relationship Id="rId154" Type="http://schemas.openxmlformats.org/officeDocument/2006/relationships/hyperlink" Target="https://es.wikipedia.org/wiki/Sustantivo" TargetMode="External"/><Relationship Id="rId175" Type="http://schemas.openxmlformats.org/officeDocument/2006/relationships/hyperlink" Target="https://es.wikipedia.org/wiki/Preposici%C3%B3n" TargetMode="External"/><Relationship Id="rId196" Type="http://schemas.openxmlformats.org/officeDocument/2006/relationships/hyperlink" Target="https://es.wikipedia.org/wiki/Flor" TargetMode="External"/><Relationship Id="rId200" Type="http://schemas.openxmlformats.org/officeDocument/2006/relationships/hyperlink" Target="https://commons.wikimedia.org/wiki/File:Paul_Gauguin_056.jpg" TargetMode="External"/><Relationship Id="rId16" Type="http://schemas.openxmlformats.org/officeDocument/2006/relationships/hyperlink" Target="https://es.wikipedia.org/wiki/Lenguas_tah%C3%ADticas" TargetMode="External"/><Relationship Id="rId221" Type="http://schemas.openxmlformats.org/officeDocument/2006/relationships/hyperlink" Target="https://es.wikipedia.org/wiki/Monte_Orohena" TargetMode="External"/><Relationship Id="rId242" Type="http://schemas.openxmlformats.org/officeDocument/2006/relationships/hyperlink" Target="https://es.wikipedia.org/wiki/Tahit%C3%AD" TargetMode="External"/><Relationship Id="rId263" Type="http://schemas.openxmlformats.org/officeDocument/2006/relationships/theme" Target="theme/theme1.xml"/><Relationship Id="rId37" Type="http://schemas.openxmlformats.org/officeDocument/2006/relationships/hyperlink" Target="https://es.wikipedia.org/wiki/Idioma_tahitiano" TargetMode="External"/><Relationship Id="rId58" Type="http://schemas.openxmlformats.org/officeDocument/2006/relationships/hyperlink" Target="https://es.wikipedia.org/wiki/Tahit%C3%AD" TargetMode="External"/><Relationship Id="rId79" Type="http://schemas.openxmlformats.org/officeDocument/2006/relationships/hyperlink" Target="https://es.wikipedia.org/wiki/Maor%C3%AD" TargetMode="External"/><Relationship Id="rId102" Type="http://schemas.openxmlformats.org/officeDocument/2006/relationships/hyperlink" Target="https://es.wikipedia.org/wiki/Idioma_tongano" TargetMode="External"/><Relationship Id="rId123" Type="http://schemas.openxmlformats.org/officeDocument/2006/relationships/hyperlink" Target="https://es.wikipedia.org/wiki/Fricativa_labiodental_sonora" TargetMode="External"/><Relationship Id="rId144" Type="http://schemas.openxmlformats.org/officeDocument/2006/relationships/hyperlink" Target="https://es.wikipedia.org/w/index.php?title=Vocal_semiabierta_anterior&amp;action=edit&amp;redlink=1" TargetMode="External"/><Relationship Id="rId90" Type="http://schemas.openxmlformats.org/officeDocument/2006/relationships/hyperlink" Target="https://es.wikipedia.org/wiki/Idioma_franc%C3%A9s" TargetMode="External"/><Relationship Id="rId165" Type="http://schemas.openxmlformats.org/officeDocument/2006/relationships/hyperlink" Target="https://es.wikipedia.org/wiki/Art%C3%ADculo" TargetMode="External"/><Relationship Id="rId186" Type="http://schemas.openxmlformats.org/officeDocument/2006/relationships/hyperlink" Target="https://es.wikipedia.org/wiki/Idioma_tahitiano" TargetMode="External"/><Relationship Id="rId211" Type="http://schemas.openxmlformats.org/officeDocument/2006/relationships/hyperlink" Target="https://es.wikipedia.org/wiki/Tahit%C3%AD" TargetMode="External"/><Relationship Id="rId232" Type="http://schemas.openxmlformats.org/officeDocument/2006/relationships/hyperlink" Target="https://es.wikipedia.org/wiki/Tahit%C3%AD" TargetMode="External"/><Relationship Id="rId253" Type="http://schemas.openxmlformats.org/officeDocument/2006/relationships/hyperlink" Target="https://es.wikipedia.org/wiki/Tahit%C3%AD" TargetMode="External"/><Relationship Id="rId27" Type="http://schemas.openxmlformats.org/officeDocument/2006/relationships/hyperlink" Target="https://es.wikipedia.org/wiki/Idioma_tahitiano" TargetMode="External"/><Relationship Id="rId48" Type="http://schemas.openxmlformats.org/officeDocument/2006/relationships/hyperlink" Target="https://es.wikipedia.org/wiki/Oc%C3%A9ano_Pac%C3%ADfico" TargetMode="External"/><Relationship Id="rId69" Type="http://schemas.openxmlformats.org/officeDocument/2006/relationships/hyperlink" Target="https://es.wikipedia.org/wiki/Islas_de_la_Sociedad" TargetMode="External"/><Relationship Id="rId113" Type="http://schemas.openxmlformats.org/officeDocument/2006/relationships/hyperlink" Target="https://es.wikipedia.org/wiki/Oclusiva_bilabial_sorda" TargetMode="External"/><Relationship Id="rId134" Type="http://schemas.openxmlformats.org/officeDocument/2006/relationships/hyperlink" Target="https://es.wikipedia.org/wiki/Vocal_semicerrada_posterior_redondeada" TargetMode="External"/><Relationship Id="rId80" Type="http://schemas.openxmlformats.org/officeDocument/2006/relationships/hyperlink" Target="https://es.wikipedia.org/w/index.php?title=Maor%C3%AD_de_las_Islas_Cook&amp;action=edit&amp;redlink=1" TargetMode="External"/><Relationship Id="rId155" Type="http://schemas.openxmlformats.org/officeDocument/2006/relationships/hyperlink" Target="https://es.wikipedia.org/wiki/Adjetivo" TargetMode="External"/><Relationship Id="rId176" Type="http://schemas.openxmlformats.org/officeDocument/2006/relationships/hyperlink" Target="https://es.wikipedia.org/wiki/Complemento_circunstancial" TargetMode="External"/><Relationship Id="rId197" Type="http://schemas.openxmlformats.org/officeDocument/2006/relationships/hyperlink" Target="https://es.wikipedia.org/wiki/Gardenia_tahitensis" TargetMode="External"/><Relationship Id="rId201" Type="http://schemas.openxmlformats.org/officeDocument/2006/relationships/hyperlink" Target="https://es.wikipedia.org/wiki/Paul_Gauguin" TargetMode="External"/><Relationship Id="rId222" Type="http://schemas.openxmlformats.org/officeDocument/2006/relationships/hyperlink" Target="https://es.wikipedia.org/wiki/Expediciones_espa%C3%B1olas_a_Tahit%C3%AD" TargetMode="External"/><Relationship Id="rId243" Type="http://schemas.openxmlformats.org/officeDocument/2006/relationships/hyperlink" Target="https://es.wikipedia.org/wiki/Tahit%C3%AD" TargetMode="External"/><Relationship Id="rId17" Type="http://schemas.openxmlformats.org/officeDocument/2006/relationships/hyperlink" Target="https://es.wikipedia.org/wiki/Polinesia_Francesa" TargetMode="External"/><Relationship Id="rId38" Type="http://schemas.openxmlformats.org/officeDocument/2006/relationships/hyperlink" Target="https://es.wikipedia.org/wiki/Idioma_tahitiano" TargetMode="External"/><Relationship Id="rId59" Type="http://schemas.openxmlformats.org/officeDocument/2006/relationships/hyperlink" Target="https://es.wikipedia.org/wiki/Tuamotu" TargetMode="External"/><Relationship Id="rId103" Type="http://schemas.openxmlformats.org/officeDocument/2006/relationships/hyperlink" Target="https://es.wikipedia.org/wiki/Idioma_samoano" TargetMode="External"/><Relationship Id="rId124" Type="http://schemas.openxmlformats.org/officeDocument/2006/relationships/hyperlink" Target="https://es.wikipedia.org/wiki/Fricativa_glotal_sorda" TargetMode="External"/><Relationship Id="rId70" Type="http://schemas.openxmlformats.org/officeDocument/2006/relationships/hyperlink" Target="https://es.wikipedia.org/wiki/1000" TargetMode="External"/><Relationship Id="rId91" Type="http://schemas.openxmlformats.org/officeDocument/2006/relationships/hyperlink" Target="https://es.wikipedia.org/wiki/Fonema" TargetMode="External"/><Relationship Id="rId145" Type="http://schemas.openxmlformats.org/officeDocument/2006/relationships/hyperlink" Target="https://es.wikipedia.org/w/index.php?title=Vocal_semiabierta_anterior&amp;action=edit&amp;redlink=1" TargetMode="External"/><Relationship Id="rId166" Type="http://schemas.openxmlformats.org/officeDocument/2006/relationships/hyperlink" Target="https://es.wikipedia.org/wiki/Sinonimia_%28sem%C3%A1ntica%29" TargetMode="External"/><Relationship Id="rId187" Type="http://schemas.openxmlformats.org/officeDocument/2006/relationships/hyperlink" Target="https://es.wikipedia.org/w/index.php?title=Universidad_de_la_Polinesia_Francesa&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10071</Words>
  <Characters>55396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2016-10-10T11:13:00Z</dcterms:created>
  <dcterms:modified xsi:type="dcterms:W3CDTF">2016-10-10T11:13:00Z</dcterms:modified>
</cp:coreProperties>
</file>